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2766A"/>
          <w:sz w:val="22"/>
          <w:szCs w:val="22"/>
        </w:rPr>
        <w:t xml:space="preserve">TECHNOLOGY STACK &amp; DECISION RECORD · DOCUMENT 01</w:t>
      </w:r>
    </w:p>
    <w:p>
      <w:pPr>
        <w:spacing w:after="120" w:before="120"/>
        <w:jc w:val="center"/>
      </w:pPr>
      <w:r>
        <w:rPr>
          <w:b/>
          <w:bCs/>
          <w:color w:val="0B2447"/>
          <w:sz w:val="44"/>
          <w:szCs w:val="44"/>
        </w:rPr>
        <w:t xml:space="preserve">Technology Stack and Decision Record</w:t>
      </w:r>
    </w:p>
    <w:p>
      <w:pPr>
        <w:spacing w:after="200"/>
        <w:jc w:val="center"/>
      </w:pPr>
      <w:r>
        <w:rPr>
          <w:b/>
          <w:bCs/>
          <w:color w:val="12766A"/>
          <w:sz w:val="26"/>
          <w:szCs w:val="26"/>
        </w:rPr>
        <w:t xml:space="preserve">The complete, versioned, justified technology plan for the platform</w:t>
      </w:r>
    </w:p>
    <w:p>
      <w:pPr>
        <w:spacing w:after="300"/>
        <w:jc w:val="center"/>
      </w:pPr>
      <w:r>
        <w:rPr>
          <w:i/>
          <w:iCs/>
          <w:color w:val="5D6D7E"/>
          <w:sz w:val="21"/>
          <w:szCs w:val="21"/>
        </w:rPr>
        <w:t xml:space="preserve">Everything a new engineer needs to set up a local environment and start a new service consistent with every other service on the platform.</w:t>
      </w:r>
    </w:p>
    <w:p>
      <w:pPr>
        <w:pBdr>
          <w:bottom w:val="single" w:color="B9770E" w:sz="12" w:space="8"/>
        </w:pBdr>
        <w:spacing w:after="300"/>
      </w:pP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400"/>
        <w:gridCol w:w="6950"/>
      </w:tblGrid>
      <w:tr>
        <w:trPr>
          <w:tblHeader/>
        </w:trPr>
        <w:tc>
          <w:tcPr>
            <w:tcW w:type="dxa" w:w="2400"/>
            <w:shd w:fill="0B2447" w:val="clear"/>
            <w:tcMar>
              <w:top w:type="dxa" w:w="100"/>
              <w:left w:type="dxa" w:w="120"/>
              <w:bottom w:type="dxa" w:w="100"/>
              <w:right w:type="dxa" w:w="120"/>
            </w:tcMar>
            <w:vAlign w:val="center"/>
          </w:tcPr>
          <w:p>
            <w:pPr>
              <w:spacing w:after="0" w:line="260"/>
            </w:pPr>
            <w:r>
              <w:rPr>
                <w:b/>
                <w:bCs/>
                <w:color w:val="FFFFFF"/>
                <w:sz w:val="19"/>
                <w:szCs w:val="19"/>
              </w:rPr>
              <w:t xml:space="preserve">Field</w:t>
            </w:r>
          </w:p>
        </w:tc>
        <w:tc>
          <w:tcPr>
            <w:tcW w:type="dxa" w:w="6950"/>
            <w:shd w:fill="0B2447" w:val="clear"/>
            <w:tcMar>
              <w:top w:type="dxa" w:w="100"/>
              <w:left w:type="dxa" w:w="120"/>
              <w:bottom w:type="dxa" w:w="100"/>
              <w:right w:type="dxa" w:w="120"/>
            </w:tcMar>
            <w:vAlign w:val="center"/>
          </w:tcPr>
          <w:p>
            <w:pPr>
              <w:spacing w:after="0" w:line="260"/>
            </w:pPr>
            <w:r>
              <w:rPr>
                <w:b/>
                <w:bCs/>
                <w:color w:val="FFFFFF"/>
                <w:sz w:val="19"/>
                <w:szCs w:val="19"/>
              </w:rPr>
              <w:t xml:space="preserve">Details</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title</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Technology Stack and Decision Record</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Part of</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Product Architecture Blueprint v3.0 — Multi-Tenant, Plug-and-Play Digital Banking &amp; Remittance Platform</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Owning squad</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Platform / Enablement (maintained on behalf of all squads)</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Version</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3.0 — Build-Ready Baseline</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Date</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 July 2026</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Classification</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Confidential — Internal Use</w:t>
            </w:r>
          </w:p>
        </w:tc>
      </w:tr>
    </w:tbl>
    <w:p>
      <w:r>
        <w:br w:type="page"/>
      </w:r>
    </w:p>
    <w:p>
      <w:pPr>
        <w:pStyle w:val="Heading1"/>
        <w:pBdr>
          <w:bottom w:val="single" w:color="0B2447" w:sz="6" w:space="4"/>
        </w:pBdr>
        <w:spacing w:after="160" w:before="360"/>
      </w:pPr>
      <w:r>
        <w:rPr>
          <w:b/>
          <w:bCs/>
          <w:color w:val="0B2447"/>
          <w:sz w:val="30"/>
          <w:szCs w:val="30"/>
        </w:rPr>
        <w:t xml:space="preserve">1. Purpose</w:t>
      </w:r>
    </w:p>
    <w:p>
      <w:pPr>
        <w:spacing w:after="160" w:line="288"/>
        <w:jc w:val="left"/>
      </w:pPr>
      <w:r>
        <w:rPr>
          <w:sz w:val="21"/>
          <w:szCs w:val="21"/>
        </w:rPr>
        <w:t xml:space="preserve">Section 11 of the master blueprint (Document 00) commits to a stack at a summary level. This document is the expanded, standalone version: full version pins, the reasoning behind each choice, the golden-path repository template, and the pipeline configuration a squad copies to start a new service. Where this document and Document 00 §11 differ in a version number, this document is authoritative — it is updated more frequently.</w:t>
      </w:r>
    </w:p>
    <w:p>
      <w:pPr>
        <w:pStyle w:val="Heading1"/>
        <w:pBdr>
          <w:bottom w:val="single" w:color="0B2447" w:sz="6" w:space="4"/>
        </w:pBdr>
        <w:spacing w:after="160" w:before="360"/>
      </w:pPr>
      <w:r>
        <w:rPr>
          <w:b/>
          <w:bCs/>
          <w:color w:val="0B2447"/>
          <w:sz w:val="30"/>
          <w:szCs w:val="30"/>
        </w:rPr>
        <w:t xml:space="preserve">2. Versions-at-a-Glance Matrix</w:t>
      </w:r>
    </w:p>
    <w:tbl>
      <w:tblPr>
        <w:tblW w:type="dxa" w:w="9300"/>
        <w:tblBorders>
          <w:top w:val="single" w:color="AAB7B8" w:sz="4"/>
          <w:left w:val="single" w:color="AAB7B8" w:sz="4"/>
          <w:bottom w:val="single" w:color="AAB7B8" w:sz="4"/>
          <w:right w:val="single" w:color="AAB7B8" w:sz="4"/>
          <w:insideH w:val="single" w:color="AAB7B8" w:sz="4"/>
          <w:insideV w:val="single" w:color="AAB7B8" w:sz="4"/>
        </w:tblBorders>
      </w:tblPr>
      <w:tblGrid>
        <w:gridCol w:w="2600"/>
        <w:gridCol w:w="3600"/>
        <w:gridCol w:w="3100"/>
      </w:tblGrid>
      <w:tr>
        <w:trPr>
          <w:tblHeader/>
        </w:trPr>
        <w:tc>
          <w:tcPr>
            <w:tcW w:type="dxa" w:w="2600"/>
            <w:shd w:fill="0B2447" w:val="clear"/>
            <w:tcMar>
              <w:top w:type="dxa" w:w="100"/>
              <w:left w:type="dxa" w:w="120"/>
              <w:bottom w:type="dxa" w:w="100"/>
              <w:right w:type="dxa" w:w="120"/>
            </w:tcMar>
            <w:vAlign w:val="center"/>
          </w:tcPr>
          <w:p>
            <w:pPr>
              <w:spacing w:after="0" w:line="260"/>
            </w:pPr>
            <w:r>
              <w:rPr>
                <w:b/>
                <w:bCs/>
                <w:color w:val="FFFFFF"/>
                <w:sz w:val="19"/>
                <w:szCs w:val="19"/>
              </w:rPr>
              <w:t xml:space="preserve">Component</w:t>
            </w:r>
          </w:p>
        </w:tc>
        <w:tc>
          <w:tcPr>
            <w:tcW w:type="dxa" w:w="3600"/>
            <w:shd w:fill="0B2447" w:val="clear"/>
            <w:tcMar>
              <w:top w:type="dxa" w:w="100"/>
              <w:left w:type="dxa" w:w="120"/>
              <w:bottom w:type="dxa" w:w="100"/>
              <w:right w:type="dxa" w:w="120"/>
            </w:tcMar>
            <w:vAlign w:val="center"/>
          </w:tcPr>
          <w:p>
            <w:pPr>
              <w:spacing w:after="0" w:line="260"/>
            </w:pPr>
            <w:r>
              <w:rPr>
                <w:b/>
                <w:bCs/>
                <w:color w:val="FFFFFF"/>
                <w:sz w:val="19"/>
                <w:szCs w:val="19"/>
              </w:rPr>
              <w:t xml:space="preserve">Version pinned at baseline</w:t>
            </w:r>
          </w:p>
        </w:tc>
        <w:tc>
          <w:tcPr>
            <w:tcW w:type="dxa" w:w="3100"/>
            <w:shd w:fill="0B2447" w:val="clear"/>
            <w:tcMar>
              <w:top w:type="dxa" w:w="100"/>
              <w:left w:type="dxa" w:w="120"/>
              <w:bottom w:type="dxa" w:w="100"/>
              <w:right w:type="dxa" w:w="120"/>
            </w:tcMar>
            <w:vAlign w:val="center"/>
          </w:tcPr>
          <w:p>
            <w:pPr>
              <w:spacing w:after="0" w:line="260"/>
            </w:pPr>
            <w:r>
              <w:rPr>
                <w:b/>
                <w:bCs/>
                <w:color w:val="FFFFFF"/>
                <w:sz w:val="19"/>
                <w:szCs w:val="19"/>
              </w:rPr>
              <w:t xml:space="preserve">Update cadence</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Java</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21 (LTS)</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Move to next LTS (25) after 6 months of general availability and internal soak testing</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Spring Boot</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3.3.x</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Patch versions applied monthly; minor versions evaluated quarterly</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Node.js</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22.x (LTS)</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Move to next LTS after its first patch release</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PostgreSQL</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16.x</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Minor versions applied via managed-service auto-patching; major version upgrades planned per-cell, off-peak</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Kubernetes</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1.30+</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Follow the managed provider's supported version window; never run an out-of-support minor version</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Kafka</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3.7+ (or Confluent Cloud/MSK equivalent)</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Managed-service auto-patching where applicable</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Istio</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1.22+</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Aligned to the Kubernetes version support matrix</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React</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18.x</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Minor versions applied per sprint; major version evaluated yearly</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Terraform</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1.8+</w:t>
            </w:r>
          </w:p>
        </w:tc>
        <w:tc>
          <w:tcPr>
            <w:tcW w:type="dxa" w:w="3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Patch versions applied continuously via CI; provider versions pinned per module</w:t>
            </w:r>
          </w:p>
        </w:tc>
      </w:tr>
    </w:tbl>
    <w:p>
      <w:pPr>
        <w:pStyle w:val="Heading1"/>
        <w:pBdr>
          <w:bottom w:val="single" w:color="0B2447" w:sz="6" w:space="4"/>
        </w:pBdr>
        <w:spacing w:after="160" w:before="360"/>
      </w:pPr>
      <w:r>
        <w:rPr>
          <w:b/>
          <w:bCs/>
          <w:color w:val="0B2447"/>
          <w:sz w:val="30"/>
          <w:szCs w:val="30"/>
        </w:rPr>
        <w:t xml:space="preserve">3. Language and Framework Rationale (Expanded)</w:t>
      </w:r>
    </w:p>
    <w:p>
      <w:pPr>
        <w:pStyle w:val="Heading2"/>
        <w:spacing w:after="120" w:before="280"/>
      </w:pPr>
      <w:r>
        <w:rPr>
          <w:b/>
          <w:bCs/>
          <w:color w:val="12766A"/>
          <w:sz w:val="25"/>
          <w:szCs w:val="25"/>
        </w:rPr>
        <w:t xml:space="preserve">3.1 Why Java/Spring for the domain core</w:t>
      </w:r>
    </w:p>
    <w:p>
      <w:pPr>
        <w:pStyle w:val="ListParagraph"/>
        <w:numPr>
          <w:ilvl w:val="0"/>
          <w:numId w:val="1"/>
        </w:numPr>
        <w:spacing w:after="90" w:line="276"/>
      </w:pPr>
      <w:r>
        <w:rPr>
          <w:sz w:val="21"/>
          <w:szCs w:val="21"/>
        </w:rPr>
        <w:t xml:space="preserve">Strong static typing catches an entire class of Money/currency mismatches at compile time — directly relevant to §7.5 of the master blueprint's ban on floating-point arithmetic for amounts.</w:t>
      </w:r>
    </w:p>
    <w:p>
      <w:pPr>
        <w:pStyle w:val="ListParagraph"/>
        <w:numPr>
          <w:ilvl w:val="0"/>
          <w:numId w:val="1"/>
        </w:numPr>
        <w:spacing w:after="90" w:line="276"/>
      </w:pPr>
      <w:r>
        <w:rPr>
          <w:sz w:val="21"/>
          <w:szCs w:val="21"/>
        </w:rPr>
        <w:t xml:space="preserve">Spring's dependency-injection model maps naturally onto the hexagonal port/adapter wiring: a port is an interface, an adapter is a @Component implementing it, and swapping adapters per tenant is a Spring profile/conditional-bean concern.</w:t>
      </w:r>
    </w:p>
    <w:p>
      <w:pPr>
        <w:pStyle w:val="ListParagraph"/>
        <w:numPr>
          <w:ilvl w:val="0"/>
          <w:numId w:val="1"/>
        </w:numPr>
        <w:spacing w:after="90" w:line="276"/>
      </w:pPr>
      <w:r>
        <w:rPr>
          <w:sz w:val="21"/>
          <w:szCs w:val="21"/>
        </w:rPr>
        <w:t xml:space="preserve">Mature libraries for every infrastructure concern this platform needs: Kafka clients, Postgres drivers, OpenTelemetry auto-instrumentation, OAuth2 resource-server support, ArchUnit for architecture testing.</w:t>
      </w:r>
    </w:p>
    <w:p>
      <w:pPr>
        <w:pStyle w:val="ListParagraph"/>
        <w:numPr>
          <w:ilvl w:val="0"/>
          <w:numId w:val="1"/>
        </w:numPr>
        <w:spacing w:after="90" w:line="276"/>
      </w:pPr>
      <w:r>
        <w:rPr>
          <w:sz w:val="21"/>
          <w:szCs w:val="21"/>
        </w:rPr>
        <w:t xml:space="preserve">A large, established talent pool in the launch delivery markets (Pakistan, UAE, KSA — Java is the dominant enterprise banking stack in all three), reducing hiring risk for a multi-year build.</w:t>
      </w:r>
    </w:p>
    <w:p>
      <w:pPr>
        <w:pStyle w:val="Heading2"/>
        <w:spacing w:after="120" w:before="280"/>
      </w:pPr>
      <w:r>
        <w:rPr>
          <w:b/>
          <w:bCs/>
          <w:color w:val="12766A"/>
          <w:sz w:val="25"/>
          <w:szCs w:val="25"/>
        </w:rPr>
        <w:t xml:space="preserve">3.2 Why Node/NestJS for BFFs and the developer platform</w:t>
      </w:r>
    </w:p>
    <w:p>
      <w:pPr>
        <w:pStyle w:val="ListParagraph"/>
        <w:numPr>
          <w:ilvl w:val="0"/>
          <w:numId w:val="1"/>
        </w:numPr>
        <w:spacing w:after="90" w:line="276"/>
      </w:pPr>
      <w:r>
        <w:rPr>
          <w:sz w:val="21"/>
          <w:szCs w:val="21"/>
        </w:rPr>
        <w:t xml:space="preserve">BFFs are composition-heavy, I/O-bound layers; Node's event loop suits fan-out calls to multiple domain services better than a thread-per-request model for this specific workload shape.</w:t>
      </w:r>
    </w:p>
    <w:p>
      <w:pPr>
        <w:pStyle w:val="ListParagraph"/>
        <w:numPr>
          <w:ilvl w:val="0"/>
          <w:numId w:val="1"/>
        </w:numPr>
        <w:spacing w:after="90" w:line="276"/>
      </w:pPr>
      <w:r>
        <w:rPr>
          <w:sz w:val="21"/>
          <w:szCs w:val="21"/>
        </w:rPr>
        <w:t xml:space="preserve">TypeScript types can be shared or generated (via the OpenAPI spec) directly with frontend teams, tightening the contract between BFF and UI.</w:t>
      </w:r>
    </w:p>
    <w:p>
      <w:pPr>
        <w:pStyle w:val="ListParagraph"/>
        <w:numPr>
          <w:ilvl w:val="0"/>
          <w:numId w:val="1"/>
        </w:numPr>
        <w:spacing w:after="90" w:line="276"/>
      </w:pPr>
      <w:r>
        <w:rPr>
          <w:sz w:val="21"/>
          <w:szCs w:val="21"/>
        </w:rPr>
        <w:t xml:space="preserve">NestJS's module system mirrors the same dependency-injection discipline as Spring, keeping the mental model consistent for engineers moving between a BFF and a domain service.</w:t>
      </w:r>
    </w:p>
    <w:p>
      <w:pPr>
        <w:pStyle w:val="Heading2"/>
        <w:spacing w:after="120" w:before="280"/>
      </w:pPr>
      <w:r>
        <w:rPr>
          <w:b/>
          <w:bCs/>
          <w:color w:val="12766A"/>
          <w:sz w:val="25"/>
          <w:szCs w:val="25"/>
        </w:rPr>
        <w:t xml:space="preserve">3.3 Where an organisation might reasonably deviate</w:t>
      </w:r>
    </w:p>
    <w:p>
      <w:pPr>
        <w:spacing w:after="160" w:line="288"/>
        <w:jc w:val="left"/>
      </w:pPr>
      <w:r>
        <w:rPr>
          <w:sz w:val="21"/>
          <w:szCs w:val="21"/>
        </w:rPr>
        <w:t xml:space="preserve">An organisation with an established Go, .NET or Kotlin-only platform standard can substitute the equivalent runtime behind the same ports without changing the architecture in Documents 00–22. The hexagonal discipline, not the specific language, is what must not be compromised. Any such substitution should be recorded as a new ADR (§23 of the master blueprint) with the same rationale/trade-off structure used here.</w:t>
      </w:r>
    </w:p>
    <w:p>
      <w:pPr>
        <w:pStyle w:val="Heading1"/>
        <w:pBdr>
          <w:bottom w:val="single" w:color="0B2447" w:sz="6" w:space="4"/>
        </w:pBdr>
        <w:spacing w:after="160" w:before="360"/>
      </w:pPr>
      <w:r>
        <w:rPr>
          <w:b/>
          <w:bCs/>
          <w:color w:val="0B2447"/>
          <w:sz w:val="30"/>
          <w:szCs w:val="30"/>
        </w:rPr>
        <w:t xml:space="preserve">4. Golden-Path Service Template (Repository Layout)</w:t>
      </w:r>
    </w:p>
    <w:p>
      <w:pPr>
        <w:spacing w:after="160" w:line="288"/>
        <w:jc w:val="left"/>
      </w:pPr>
      <w:r>
        <w:rPr>
          <w:sz w:val="21"/>
          <w:szCs w:val="21"/>
        </w:rPr>
        <w:t xml:space="preserve">Every new service repository is created from this template, enforced by the architecture test in §4.2:</w:t>
      </w:r>
    </w:p>
    <w:p/>
    <w:p>
      <w:pPr>
        <w:spacing w:after="160" w:line="288"/>
        <w:jc w:val="left"/>
      </w:pPr>
      <w:r>
        <w:rPr>
          <w:sz w:val="20"/>
          <w:szCs w:val="20"/>
        </w:rPr>
        <w:t xml:space="preserve">service-name/</w:t>
      </w:r>
    </w:p>
    <w:p>
      <w:pPr>
        <w:spacing w:after="160" w:line="288"/>
        <w:jc w:val="left"/>
      </w:pPr>
      <w:r>
        <w:rPr>
          <w:sz w:val="20"/>
          <w:szCs w:val="20"/>
        </w:rPr>
        <w:t xml:space="preserve">  domain/            — entities, value objects, aggregates, domain services (no framework imports)</w:t>
      </w:r>
    </w:p>
    <w:p>
      <w:pPr>
        <w:spacing w:after="160" w:line="288"/>
        <w:jc w:val="left"/>
      </w:pPr>
      <w:r>
        <w:rPr>
          <w:sz w:val="20"/>
          <w:szCs w:val="20"/>
        </w:rPr>
        <w:t xml:space="preserve">  application/        — use cases, saga coordination (depends on domain + ports only)</w:t>
      </w:r>
    </w:p>
    <w:p>
      <w:pPr>
        <w:spacing w:after="160" w:line="288"/>
        <w:jc w:val="left"/>
      </w:pPr>
      <w:r>
        <w:rPr>
          <w:sz w:val="20"/>
          <w:szCs w:val="20"/>
        </w:rPr>
        <w:t xml:space="preserve">  ports/</w:t>
      </w:r>
    </w:p>
    <w:p>
      <w:pPr>
        <w:spacing w:after="160" w:line="288"/>
        <w:jc w:val="left"/>
      </w:pPr>
      <w:r>
        <w:rPr>
          <w:sz w:val="20"/>
          <w:szCs w:val="20"/>
        </w:rPr>
        <w:t xml:space="preserve">    inbound/          — use-case interfaces called by driving adapters</w:t>
      </w:r>
    </w:p>
    <w:p>
      <w:pPr>
        <w:spacing w:after="160" w:line="288"/>
        <w:jc w:val="left"/>
      </w:pPr>
      <w:r>
        <w:rPr>
          <w:sz w:val="20"/>
          <w:szCs w:val="20"/>
        </w:rPr>
        <w:t xml:space="preserve">    outbound/          — interfaces implemented by driven adapters</w:t>
      </w:r>
    </w:p>
    <w:p>
      <w:pPr>
        <w:spacing w:after="160" w:line="288"/>
        <w:jc w:val="left"/>
      </w:pPr>
      <w:r>
        <w:rPr>
          <w:sz w:val="20"/>
          <w:szCs w:val="20"/>
        </w:rPr>
        <w:t xml:space="preserve">  adapters/</w:t>
      </w:r>
    </w:p>
    <w:p>
      <w:pPr>
        <w:spacing w:after="160" w:line="288"/>
        <w:jc w:val="left"/>
      </w:pPr>
      <w:r>
        <w:rPr>
          <w:sz w:val="20"/>
          <w:szCs w:val="20"/>
        </w:rPr>
        <w:t xml:space="preserve">    rest/              — REST controllers (driving)</w:t>
      </w:r>
    </w:p>
    <w:p>
      <w:pPr>
        <w:spacing w:after="160" w:line="288"/>
        <w:jc w:val="left"/>
      </w:pPr>
      <w:r>
        <w:rPr>
          <w:sz w:val="20"/>
          <w:szCs w:val="20"/>
        </w:rPr>
        <w:t xml:space="preserve">    events/            — Kafka consumers/producers (driving/driven)</w:t>
      </w:r>
    </w:p>
    <w:p>
      <w:pPr>
        <w:spacing w:after="160" w:line="288"/>
        <w:jc w:val="left"/>
      </w:pPr>
      <w:r>
        <w:rPr>
          <w:sz w:val="20"/>
          <w:szCs w:val="20"/>
        </w:rPr>
        <w:t xml:space="preserve">    persistence/        — repository implementations (driven)</w:t>
      </w:r>
    </w:p>
    <w:p>
      <w:pPr>
        <w:spacing w:after="160" w:line="288"/>
        <w:jc w:val="left"/>
      </w:pPr>
      <w:r>
        <w:rPr>
          <w:sz w:val="20"/>
          <w:szCs w:val="20"/>
        </w:rPr>
        <w:t xml:space="preserve">    external/          — provider-specific clients (driven)</w:t>
      </w:r>
    </w:p>
    <w:p>
      <w:pPr>
        <w:spacing w:after="160" w:line="288"/>
        <w:jc w:val="left"/>
      </w:pPr>
      <w:r>
        <w:rPr>
          <w:sz w:val="20"/>
          <w:szCs w:val="20"/>
        </w:rPr>
        <w:t xml:space="preserve">  config/             — Spring configuration, bean wiring, adapter bindings</w:t>
      </w:r>
    </w:p>
    <w:p>
      <w:pPr>
        <w:spacing w:after="160" w:line="288"/>
        <w:jc w:val="left"/>
      </w:pPr>
      <w:r>
        <w:rPr>
          <w:sz w:val="20"/>
          <w:szCs w:val="20"/>
        </w:rPr>
        <w:t xml:space="preserve">  src/test/architecture/ — ArchUnit rules enforcing the above boundaries</w:t>
      </w:r>
    </w:p>
    <w:p>
      <w:pPr>
        <w:spacing w:after="160" w:line="288"/>
        <w:jc w:val="left"/>
      </w:pPr>
      <w:r>
        <w:rPr>
          <w:sz w:val="20"/>
          <w:szCs w:val="20"/>
        </w:rPr>
        <w:t xml:space="preserve">  Dockerfile, helm/, .github/workflows/</w:t>
      </w:r>
    </w:p>
    <w:p>
      <w:pPr>
        <w:pStyle w:val="Heading2"/>
        <w:spacing w:after="120" w:before="280"/>
      </w:pPr>
      <w:r>
        <w:rPr>
          <w:b/>
          <w:bCs/>
          <w:color w:val="12766A"/>
          <w:sz w:val="25"/>
          <w:szCs w:val="25"/>
        </w:rPr>
        <w:t xml:space="preserve">4.1 The mandatory architecture test</w:t>
      </w:r>
    </w:p>
    <w:p>
      <w:pPr>
        <w:spacing w:after="160" w:line="288"/>
        <w:jc w:val="left"/>
      </w:pPr>
      <w:r>
        <w:rPr>
          <w:sz w:val="21"/>
          <w:szCs w:val="21"/>
        </w:rPr>
        <w:t xml:space="preserve">Every service repository includes an ArchUnit (or language-equivalent) test asserting: classes in domain must not depend on classes in adapters or on any Spring/framework package; classes in ports must not depend on adapters; only classes in adapters may depend on a specific technology library (JDBC driver, Kafka client, HTTP client). This test runs on every build and fails the pipeline on violation — it is how §4 of the master blueprint stays true in practice, not just on a diagram.</w:t>
      </w:r>
    </w:p>
    <w:p>
      <w:pPr>
        <w:pStyle w:val="Heading1"/>
        <w:pBdr>
          <w:bottom w:val="single" w:color="0B2447" w:sz="6" w:space="4"/>
        </w:pBdr>
        <w:spacing w:after="160" w:before="360"/>
      </w:pPr>
      <w:r>
        <w:rPr>
          <w:b/>
          <w:bCs/>
          <w:color w:val="0B2447"/>
          <w:sz w:val="30"/>
          <w:szCs w:val="30"/>
        </w:rPr>
        <w:t xml:space="preserve">5. CI Pipeline Template (Summary)</w:t>
      </w:r>
    </w:p>
    <w:tbl>
      <w:tblPr>
        <w:tblW w:type="dxa" w:w="9300"/>
        <w:tblBorders>
          <w:top w:val="single" w:color="AAB7B8" w:sz="4"/>
          <w:left w:val="single" w:color="AAB7B8" w:sz="4"/>
          <w:bottom w:val="single" w:color="AAB7B8" w:sz="4"/>
          <w:right w:val="single" w:color="AAB7B8" w:sz="4"/>
          <w:insideH w:val="single" w:color="AAB7B8" w:sz="4"/>
          <w:insideV w:val="single" w:color="AAB7B8" w:sz="4"/>
        </w:tblBorders>
      </w:tblPr>
      <w:tblGrid>
        <w:gridCol w:w="2600"/>
        <w:gridCol w:w="6700"/>
      </w:tblGrid>
      <w:tr>
        <w:trPr>
          <w:tblHeader/>
        </w:trPr>
        <w:tc>
          <w:tcPr>
            <w:tcW w:type="dxa" w:w="2600"/>
            <w:shd w:fill="0B2447" w:val="clear"/>
            <w:tcMar>
              <w:top w:type="dxa" w:w="100"/>
              <w:left w:type="dxa" w:w="120"/>
              <w:bottom w:type="dxa" w:w="100"/>
              <w:right w:type="dxa" w:w="120"/>
            </w:tcMar>
            <w:vAlign w:val="center"/>
          </w:tcPr>
          <w:p>
            <w:pPr>
              <w:spacing w:after="0" w:line="260"/>
            </w:pPr>
            <w:r>
              <w:rPr>
                <w:b/>
                <w:bCs/>
                <w:color w:val="FFFFFF"/>
                <w:sz w:val="19"/>
                <w:szCs w:val="19"/>
              </w:rPr>
              <w:t xml:space="preserve">Stage</w:t>
            </w:r>
          </w:p>
        </w:tc>
        <w:tc>
          <w:tcPr>
            <w:tcW w:type="dxa" w:w="6700"/>
            <w:shd w:fill="0B2447" w:val="clear"/>
            <w:tcMar>
              <w:top w:type="dxa" w:w="100"/>
              <w:left w:type="dxa" w:w="120"/>
              <w:bottom w:type="dxa" w:w="100"/>
              <w:right w:type="dxa" w:w="120"/>
            </w:tcMar>
            <w:vAlign w:val="center"/>
          </w:tcPr>
          <w:p>
            <w:pPr>
              <w:spacing w:after="0" w:line="260"/>
            </w:pPr>
            <w:r>
              <w:rPr>
                <w:b/>
                <w:bCs/>
                <w:color w:val="FFFFFF"/>
                <w:sz w:val="19"/>
                <w:szCs w:val="19"/>
              </w:rPr>
              <w:t xml:space="preserve">What runs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lint-and-test</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Linting, unit tests, the architecture test (§4.1), static analysis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security-scan</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Dependency scan, container image scan, SBOM generation</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build-and-sign</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Container build, image signing (cosign), push to registry</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component-test</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Testcontainers-based tests against real Postgres/Kafka instances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contract-test</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Pact verification against the broker for both provider and consumer roles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deploy-dev</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ArgoCD sync to the dev environment, automatic on merge to main</w:t>
            </w:r>
          </w:p>
        </w:tc>
      </w:tr>
    </w:tbl>
    <w:p>
      <w:pPr>
        <w:spacing w:after="160" w:line="288"/>
        <w:jc w:val="left"/>
      </w:pPr>
      <w:r>
        <w:rPr>
          <w:sz w:val="21"/>
          <w:szCs w:val="21"/>
        </w:rPr>
        <w:t xml:space="preserve">Full staging/canary/production promotion mechanics are specified in §20 of the master blueprint; this template covers only the per-commit pipeline every service repository ships with from day one.</w:t>
      </w:r>
    </w:p>
    <w:p>
      <w:pPr>
        <w:pStyle w:val="Heading1"/>
        <w:pBdr>
          <w:bottom w:val="single" w:color="0B2447" w:sz="6" w:space="4"/>
        </w:pBdr>
        <w:spacing w:after="160" w:before="360"/>
      </w:pPr>
      <w:r>
        <w:rPr>
          <w:b/>
          <w:bCs/>
          <w:color w:val="0B2447"/>
          <w:sz w:val="30"/>
          <w:szCs w:val="30"/>
        </w:rPr>
        <w:t xml:space="preserve">6. Local Development Environment</w:t>
      </w:r>
    </w:p>
    <w:p>
      <w:pPr>
        <w:pStyle w:val="ListParagraph"/>
        <w:numPr>
          <w:ilvl w:val="0"/>
          <w:numId w:val="1"/>
        </w:numPr>
        <w:spacing w:after="90" w:line="276"/>
      </w:pPr>
      <w:r>
        <w:rPr>
          <w:sz w:val="21"/>
          <w:szCs w:val="21"/>
        </w:rPr>
        <w:t xml:space="preserve">Docker Compose profile per service providing a local Postgres, Kafka (or Redpanda for a lighter local footprint) and a mock/sandbox adapter set, so a new engineer can run the full stack for one service without any cloud dependency.</w:t>
      </w:r>
    </w:p>
    <w:p>
      <w:pPr>
        <w:pStyle w:val="ListParagraph"/>
        <w:numPr>
          <w:ilvl w:val="0"/>
          <w:numId w:val="1"/>
        </w:numPr>
        <w:spacing w:after="90" w:line="276"/>
      </w:pPr>
      <w:r>
        <w:rPr>
          <w:sz w:val="21"/>
          <w:szCs w:val="21"/>
        </w:rPr>
        <w:t xml:space="preserve">A shared 'platform-cli' tool (internal) that scaffolds a new service from the golden-path template, registers it with the local API gateway, and wires local OIDC via a Keycloak dev-mode container.</w:t>
      </w:r>
    </w:p>
    <w:p>
      <w:pPr>
        <w:pStyle w:val="Heading1"/>
        <w:pBdr>
          <w:bottom w:val="single" w:color="0B2447" w:sz="6" w:space="4"/>
        </w:pBdr>
        <w:spacing w:after="160" w:before="360"/>
      </w:pPr>
      <w:r>
        <w:rPr>
          <w:b/>
          <w:bCs/>
          <w:color w:val="0B2447"/>
          <w:sz w:val="30"/>
          <w:szCs w:val="30"/>
        </w:rPr>
        <w:t xml:space="preserve">7. Cost Considerations (Indicative)</w:t>
      </w:r>
    </w:p>
    <w:tbl>
      <w:tblPr>
        <w:tblW w:type="dxa" w:w="9350"/>
        <w:tblBorders>
          <w:top w:val="single" w:color="B9770E" w:sz="4"/>
          <w:left w:val="single" w:color="B9770E" w:sz="4"/>
          <w:bottom w:val="single" w:color="B9770E" w:sz="4"/>
          <w:right w:val="single" w:color="B9770E" w:sz="4"/>
          <w:insideH w:val="single" w:color="B9770E" w:sz="4"/>
          <w:insideV w:val="single" w:color="B9770E" w:sz="4"/>
        </w:tblBorders>
      </w:tblPr>
      <w:tblGrid>
        <w:gridCol w:w="100"/>
      </w:tblGrid>
      <w:tr>
        <w:tc>
          <w:tcPr>
            <w:tcW w:type="dxa" w:w="9350"/>
            <w:shd w:fill="FDEBD0" w:val="clear"/>
            <w:tcMar>
              <w:top w:type="dxa" w:w="140"/>
              <w:left w:type="dxa" w:w="180"/>
              <w:bottom w:type="dxa" w:w="140"/>
              <w:right w:type="dxa" w:w="180"/>
            </w:tcMar>
          </w:tcPr>
          <w:p>
            <w:pPr>
              <w:spacing w:after="0" w:line="276"/>
            </w:pPr>
            <w:r>
              <w:rPr>
                <w:b/>
                <w:bCs/>
                <w:color w:val="B9770E"/>
                <w:sz w:val="21"/>
                <w:szCs w:val="21"/>
              </w:rPr>
              <w:t xml:space="preserve">Note.  </w:t>
            </w:r>
            <w:r>
              <w:rPr>
                <w:sz w:val="21"/>
                <w:szCs w:val="21"/>
              </w:rPr>
              <w:t xml:space="preserve">The figures below are indicative, order-of-magnitude planning inputs only, not a procurement quote. Cloud, licensing and vendor pricing must be confirmed directly with each provider against actual projected volumes before budget commitment.</w:t>
            </w:r>
          </w:p>
        </w:tc>
      </w:tr>
    </w:tbl>
    <w:tbl>
      <w:tblPr>
        <w:tblW w:type="dxa" w:w="9300"/>
        <w:tblBorders>
          <w:top w:val="single" w:color="AAB7B8" w:sz="4"/>
          <w:left w:val="single" w:color="AAB7B8" w:sz="4"/>
          <w:bottom w:val="single" w:color="AAB7B8" w:sz="4"/>
          <w:right w:val="single" w:color="AAB7B8" w:sz="4"/>
          <w:insideH w:val="single" w:color="AAB7B8" w:sz="4"/>
          <w:insideV w:val="single" w:color="AAB7B8" w:sz="4"/>
        </w:tblBorders>
      </w:tblPr>
      <w:tblGrid>
        <w:gridCol w:w="2600"/>
        <w:gridCol w:w="3200"/>
        <w:gridCol w:w="3500"/>
      </w:tblGrid>
      <w:tr>
        <w:trPr>
          <w:tblHeader/>
        </w:trPr>
        <w:tc>
          <w:tcPr>
            <w:tcW w:type="dxa" w:w="2600"/>
            <w:shd w:fill="0B2447" w:val="clear"/>
            <w:tcMar>
              <w:top w:type="dxa" w:w="100"/>
              <w:left w:type="dxa" w:w="120"/>
              <w:bottom w:type="dxa" w:w="100"/>
              <w:right w:type="dxa" w:w="120"/>
            </w:tcMar>
            <w:vAlign w:val="center"/>
          </w:tcPr>
          <w:p>
            <w:pPr>
              <w:spacing w:after="0" w:line="260"/>
            </w:pPr>
            <w:r>
              <w:rPr>
                <w:b/>
                <w:bCs/>
                <w:color w:val="FFFFFF"/>
                <w:sz w:val="19"/>
                <w:szCs w:val="19"/>
              </w:rPr>
              <w:t xml:space="preserve">Cost driver</w:t>
            </w:r>
          </w:p>
        </w:tc>
        <w:tc>
          <w:tcPr>
            <w:tcW w:type="dxa" w:w="3200"/>
            <w:shd w:fill="0B2447" w:val="clear"/>
            <w:tcMar>
              <w:top w:type="dxa" w:w="100"/>
              <w:left w:type="dxa" w:w="120"/>
              <w:bottom w:type="dxa" w:w="100"/>
              <w:right w:type="dxa" w:w="120"/>
            </w:tcMar>
            <w:vAlign w:val="center"/>
          </w:tcPr>
          <w:p>
            <w:pPr>
              <w:spacing w:after="0" w:line="260"/>
            </w:pPr>
            <w:r>
              <w:rPr>
                <w:b/>
                <w:bCs/>
                <w:color w:val="FFFFFF"/>
                <w:sz w:val="19"/>
                <w:szCs w:val="19"/>
              </w:rPr>
              <w:t xml:space="preserve">Scales with</w:t>
            </w:r>
          </w:p>
        </w:tc>
        <w:tc>
          <w:tcPr>
            <w:tcW w:type="dxa" w:w="3500"/>
            <w:shd w:fill="0B2447" w:val="clear"/>
            <w:tcMar>
              <w:top w:type="dxa" w:w="100"/>
              <w:left w:type="dxa" w:w="120"/>
              <w:bottom w:type="dxa" w:w="100"/>
              <w:right w:type="dxa" w:w="120"/>
            </w:tcMar>
            <w:vAlign w:val="center"/>
          </w:tcPr>
          <w:p>
            <w:pPr>
              <w:spacing w:after="0" w:line="260"/>
            </w:pPr>
            <w:r>
              <w:rPr>
                <w:b/>
                <w:bCs/>
                <w:color w:val="FFFFFF"/>
                <w:sz w:val="19"/>
                <w:szCs w:val="19"/>
              </w:rPr>
              <w:t xml:space="preserve">Notes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Kubernetes compute (per region)</w:t>
            </w:r>
          </w:p>
        </w:tc>
        <w:tc>
          <w:tcPr>
            <w:tcW w:type="dxa" w:w="3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Number of cells and services</w:t>
            </w:r>
          </w:p>
        </w:tc>
        <w:tc>
          <w:tcPr>
            <w:tcW w:type="dxa" w:w="3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Baseline: one small-to-medium node pool per cell; grows with tenant count and traffic</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Managed PostgreSQL</w:t>
            </w:r>
          </w:p>
        </w:tc>
        <w:tc>
          <w:tcPr>
            <w:tcW w:type="dxa" w:w="3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Number of tenant databases/schemas + storage</w:t>
            </w:r>
          </w:p>
        </w:tc>
        <w:tc>
          <w:tcPr>
            <w:tcW w:type="dxa" w:w="3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Enterprise silo tenants are the dominant driver of instance count</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Kafka (managed)</w:t>
            </w:r>
          </w:p>
        </w:tc>
        <w:tc>
          <w:tcPr>
            <w:tcW w:type="dxa" w:w="3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Event throughput and retention window</w:t>
            </w:r>
          </w:p>
        </w:tc>
        <w:tc>
          <w:tcPr>
            <w:tcW w:type="dxa" w:w="3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Retention window is itself a compliance-pack-driven configuration choice</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Screening/eKYC/FX vendor fees</w:t>
            </w:r>
          </w:p>
        </w:tc>
        <w:tc>
          <w:tcPr>
            <w:tcW w:type="dxa" w:w="3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Per-check or per-API-call vendor pricing</w:t>
            </w:r>
          </w:p>
        </w:tc>
        <w:tc>
          <w:tcPr>
            <w:tcW w:type="dxa" w:w="3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Often the largest variable cost per tenant; feeds directly into the Pricing service's cost-plus margin model</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Card processor fees</w:t>
            </w:r>
          </w:p>
        </w:tc>
        <w:tc>
          <w:tcPr>
            <w:tcW w:type="dxa" w:w="3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Per-card and per-transaction fees</w:t>
            </w:r>
          </w:p>
        </w:tc>
        <w:tc>
          <w:tcPr>
            <w:tcW w:type="dxa" w:w="3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Only relevant for tenants licensing the Card Issuing capability</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D6D7E"/>
        <w:sz w:val="16"/>
        <w:szCs w:val="16"/>
      </w:rPr>
      <w:t xml:space="preserve">Confidential — Internal Use   ·   Page </w:t>
    </w:r>
    <w:r>
      <w:rPr>
        <w:color w:val="5D6D7E"/>
        <w:sz w:val="16"/>
        <w:szCs w:val="16"/>
      </w:rPr>
      <w:fldChar w:fldCharType="begin"/>
      <w:instrText xml:space="preserve">PAGE</w:instrText>
      <w:fldChar w:fldCharType="separate"/>
      <w:fldChar w:fldCharType="end"/>
    </w:r>
    <w:r>
      <w:rPr>
        <w:color w:val="5D6D7E"/>
        <w:sz w:val="16"/>
        <w:szCs w:val="16"/>
      </w:rPr>
      <w:t xml:space="preserve"> of </w:t>
    </w:r>
    <w:r>
      <w:rPr>
        <w:color w:val="5D6D7E"/>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D6D7E"/>
        <w:sz w:val="16"/>
        <w:szCs w:val="16"/>
      </w:rPr>
      <w:t xml:space="preserve">Document 01 — Technology Stack and Decision Record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2026-07-06T12:24:06.057Z</dcterms:created>
  <dcterms:modified xsi:type="dcterms:W3CDTF">2026-07-06T12:24:06.057Z</dcterms:modified>
</cp:coreProperties>
</file>

<file path=docProps/custom.xml><?xml version="1.0" encoding="utf-8"?>
<Properties xmlns="http://schemas.openxmlformats.org/officeDocument/2006/custom-properties" xmlns:vt="http://schemas.openxmlformats.org/officeDocument/2006/docPropsVTypes"/>
</file>