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700"/>
      </w:pPr>
      <w:r>
        <w:rPr>
          <w:rFonts w:ascii="Calibri" w:cs="Calibri" w:eastAsia="Calibri" w:hAnsi="Calibri"/>
          <w:b/>
          <w:bCs/>
          <w:color w:val="0A7E79"/>
          <w:sz w:val="21"/>
          <w:szCs w:val="21"/>
        </w:rPr>
        <w:t xml:space="preserve">DEVELOPMENT READINESS · DOCUMENT 27 · SHARED (BANKING + TAKAFUL)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0B1F3A"/>
          <w:sz w:val="52"/>
          <w:szCs w:val="52"/>
        </w:rPr>
        <w:t xml:space="preserve">Repository, Branching &amp; Development Readiness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0A7E79"/>
          <w:sz w:val="27"/>
          <w:szCs w:val="27"/>
        </w:rPr>
        <w:t xml:space="preserve">GitHub organisation, branching strategy, environments, CI/CD, issues and the day-one setup runbook</w:t>
      </w:r>
    </w:p>
    <w:p>
      <w:pPr>
        <w:spacing w:after="420"/>
      </w:pPr>
      <w:r>
        <w:rPr>
          <w:rFonts w:ascii="Calibri" w:cs="Calibri" w:eastAsia="Calibri" w:hAnsi="Calibri"/>
          <w:i/>
          <w:iCs/>
          <w:color w:val="5B6B7A"/>
          <w:sz w:val="22"/>
          <w:szCs w:val="22"/>
        </w:rPr>
        <w:t xml:space="preserve">Everything the team needs to move from the completed blueprint set (Documents 00–26) into actual development on GitHub — repos, branch model, develop/staging/production promotion, tooling, and the order to set it all up.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2300"/>
        <w:gridCol w:w="7050"/>
      </w:tblGrid>
      <w:tr>
        <w:trPr>
          <w:tblHeader/>
        </w:trPr>
        <w:tc>
          <w:tcPr>
            <w:tcW w:type="dxa" w:w="23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70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dxa" w:w="2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Document title</w:t>
            </w:r>
          </w:p>
        </w:tc>
        <w:tc>
          <w:tcPr>
            <w:tcW w:type="dxa" w:w="7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Repository, Branching &amp; Development Readiness</w:t>
            </w:r>
          </w:p>
        </w:tc>
      </w:tr>
      <w:tr>
        <w:tc>
          <w:tcPr>
            <w:tcW w:type="dxa" w:w="2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Part of</w:t>
            </w:r>
          </w:p>
        </w:tc>
        <w:tc>
          <w:tcPr>
            <w:tcW w:type="dxa" w:w="7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Product Architecture Blueprint v3.1 + Shared Adapter Platform (Banking + Takaful)</w:t>
            </w:r>
          </w:p>
        </w:tc>
      </w:tr>
      <w:tr>
        <w:tc>
          <w:tcPr>
            <w:tcW w:type="dxa" w:w="2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Applies to</w:t>
            </w:r>
          </w:p>
        </w:tc>
        <w:tc>
          <w:tcPr>
            <w:tcW w:type="dxa" w:w="7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All repositories, both apps, all shared adapters, all environments (develop / staging / production pk·ae·sa)</w:t>
            </w:r>
          </w:p>
        </w:tc>
      </w:tr>
      <w:tr>
        <w:tc>
          <w:tcPr>
            <w:tcW w:type="dxa" w:w="2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choice</w:t>
            </w:r>
          </w:p>
        </w:tc>
        <w:tc>
          <w:tcPr>
            <w:tcW w:type="dxa" w:w="7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(repos, branch protection, Actions, Environments, Issues, Projects) — deliberately simple</w:t>
            </w:r>
          </w:p>
        </w:tc>
      </w:tr>
      <w:tr>
        <w:tc>
          <w:tcPr>
            <w:tcW w:type="dxa" w:w="2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Owning squad</w:t>
            </w:r>
          </w:p>
        </w:tc>
        <w:tc>
          <w:tcPr>
            <w:tcW w:type="dxa" w:w="7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</w:tr>
      <w:tr>
        <w:tc>
          <w:tcPr>
            <w:tcW w:type="dxa" w:w="2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Status</w:t>
            </w:r>
          </w:p>
        </w:tc>
        <w:tc>
          <w:tcPr>
            <w:tcW w:type="dxa" w:w="7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Ready to execute — this is the first document meant to be acted on, not just read</w:t>
            </w:r>
          </w:p>
        </w:tc>
      </w:tr>
      <w:tr>
        <w:tc>
          <w:tcPr>
            <w:tcW w:type="dxa" w:w="2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Version</w:t>
            </w:r>
          </w:p>
        </w:tc>
        <w:tc>
          <w:tcPr>
            <w:tcW w:type="dxa" w:w="7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2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Date</w:t>
            </w:r>
          </w:p>
        </w:tc>
        <w:tc>
          <w:tcPr>
            <w:tcW w:type="dxa" w:w="7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16 July 2026</w:t>
            </w:r>
          </w:p>
        </w:tc>
      </w:tr>
      <w:tr>
        <w:tc>
          <w:tcPr>
            <w:tcW w:type="dxa" w:w="2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7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Confidential — Internal Use</w:t>
            </w:r>
          </w:p>
        </w:tc>
      </w:tr>
    </w:tbl>
    <w:p>
      <w:r>
        <w:br w:type="page"/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1. Purpose and Principles</w:t>
      </w:r>
    </w:p>
    <w:p>
      <w:pPr>
        <w:spacing w:after="160" w:line="30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Documents 00–26 define what to build. This document defines how the team works while building it: which repositories exist, how branches flow to production, how develop/staging/production environments are promoted, what tooling every developer installs, and the exact order to set everything up. It is deliberately opinionated so that day one is executing a checklist, not holding a meeting.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Simple over clever: GitHub's native features (branch protection, Actions, Environments, Issues, Projects) cover everything this team needs — no external ALM, no plugins, no exotic branch models.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main is always releasable. Anything on main has passed every required check and could ship. Environments are promoted by moving a built, signed artifact through tags and approvals — never by merging between long-lived branches.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Environments are a deployment concern, not a branching concern. There is no 'develop branch' or 'staging branch'; there are develop, staging and production environments fed from main (see §4 for why, and Appendix A if the team ever insists on classic Git Flow).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Everything as code, everything by PR: application code, infrastructure (Terraform), deployment state (GitOps repo), API contracts, rule packs, ADRs and this document itself all change through pull requests with the same review discipline.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2. Repository Topology</w:t>
      </w:r>
    </w:p>
    <w:p>
      <w:pPr>
        <w:spacing w:after="160" w:line="30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Neither one giant monorepo (couples both apps' release cadence and makes CODEOWNERS/permissions coarse) nor forty micro-repos (drowns a small team in maintenance). Eight repositories, each with a clear owner and release unit: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1750"/>
        <w:gridCol w:w="3300"/>
        <w:gridCol w:w="1900"/>
        <w:gridCol w:w="2400"/>
      </w:tblGrid>
      <w:tr>
        <w:trPr>
          <w:tblHeader/>
        </w:trPr>
        <w:tc>
          <w:tcPr>
            <w:tcW w:type="dxa" w:w="17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Repository</w:t>
            </w:r>
          </w:p>
        </w:tc>
        <w:tc>
          <w:tcPr>
            <w:tcW w:type="dxa" w:w="33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Contains</w:t>
            </w:r>
          </w:p>
        </w:tc>
        <w:tc>
          <w:tcPr>
            <w:tcW w:type="dxa" w:w="19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Owner (CODEOWNERS)</w:t>
            </w:r>
          </w:p>
        </w:tc>
        <w:tc>
          <w:tcPr>
            <w:tcW w:type="dxa" w:w="24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Release unit</w:t>
            </w:r>
          </w:p>
        </w:tc>
      </w:tr>
      <w:tr>
        <w:tc>
          <w:tcPr>
            <w:tcW w:type="dxa" w:w="17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platform-docs</w:t>
            </w:r>
          </w:p>
        </w:tc>
        <w:tc>
          <w:tcPr>
            <w:tcW w:type="dxa" w:w="3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Blueprint docx set, all design.md files, ADR log, RFCs, this document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— (merge = published)</w:t>
            </w:r>
          </w:p>
        </w:tc>
      </w:tr>
      <w:tr>
        <w:tc>
          <w:tcPr>
            <w:tcW w:type="dxa" w:w="17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platform-packages</w:t>
            </w:r>
          </w:p>
        </w:tc>
        <w:tc>
          <w:tcPr>
            <w:tcW w:type="dxa" w:w="3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TS workspace: @platform/money, tsconfig, telemetry, persistence (TS), oidc, pact-fixtures + the ESLint money rule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  <w:tc>
          <w:tcPr>
            <w:tcW w:type="dxa" w:w="24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npm packages, independent semver via Changesets</w:t>
            </w:r>
          </w:p>
        </w:tc>
      </w:tr>
      <w:tr>
        <w:tc>
          <w:tcPr>
            <w:tcW w:type="dxa" w:w="17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platform-adapters</w:t>
            </w:r>
          </w:p>
        </w:tc>
        <w:tc>
          <w:tcPr>
            <w:tcW w:type="dxa" w:w="3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The 8 shared adapters (Docs 02/03-backing services where shared, 24, 25, 26 etc.) as independently deployable services in one workspace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Adapters squad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container image + chart per adapter, independent semver tags (adapter-tax-v1.2.0)</w:t>
            </w:r>
          </w:p>
        </w:tc>
      </w:tr>
      <w:tr>
        <w:tc>
          <w:tcPr>
            <w:tcW w:type="dxa" w:w="17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banking-app</w:t>
            </w:r>
          </w:p>
        </w:tc>
        <w:tc>
          <w:tcPr>
            <w:tcW w:type="dxa" w:w="3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Banking-only services: Ledger, Payments, Wallets, Cards, Pricing, Reconciliation, banking BFFs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Banking squads</w:t>
            </w:r>
          </w:p>
        </w:tc>
        <w:tc>
          <w:tcPr>
            <w:tcW w:type="dxa" w:w="24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image per service, app release tags (banking-v1.4.0)</w:t>
            </w:r>
          </w:p>
        </w:tc>
      </w:tr>
      <w:tr>
        <w:tc>
          <w:tcPr>
            <w:tcW w:type="dxa" w:w="17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takaful-app</w:t>
            </w:r>
          </w:p>
        </w:tc>
        <w:tc>
          <w:tcPr>
            <w:tcW w:type="dxa" w:w="3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Takaful-only services: Policy Admin, Underwriting, Claims, participant pool, takaful BFF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Takaful squads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image per service, app release tags (takaful-v0.3.0)</w:t>
            </w:r>
          </w:p>
        </w:tc>
      </w:tr>
      <w:tr>
        <w:tc>
          <w:tcPr>
            <w:tcW w:type="dxa" w:w="17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platform-infra</w:t>
            </w:r>
          </w:p>
        </w:tc>
        <w:tc>
          <w:tcPr>
            <w:tcW w:type="dxa" w:w="3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 modules (clusters, DBs, Kafka, registries per region) + the ArgoCD GitOps state (env overlays)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  <w:tc>
          <w:tcPr>
            <w:tcW w:type="dxa" w:w="24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 applies by PR; GitOps state is the deployment record</w:t>
            </w:r>
          </w:p>
        </w:tc>
      </w:tr>
      <w:tr>
        <w:tc>
          <w:tcPr>
            <w:tcW w:type="dxa" w:w="17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service-template-ts</w:t>
            </w:r>
          </w:p>
        </w:tc>
        <w:tc>
          <w:tcPr>
            <w:tcW w:type="dxa" w:w="33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The NestJS golden path (Doc 01 §4.1): layout, dependency-cruiser, ESLint money rule, CI workflow, Helm chart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template repo</w:t>
            </w:r>
          </w:p>
        </w:tc>
      </w:tr>
      <w:tr>
        <w:tc>
          <w:tcPr>
            <w:tcW w:type="dxa" w:w="17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service-template-jvm</w:t>
            </w:r>
          </w:p>
        </w:tc>
        <w:tc>
          <w:tcPr>
            <w:tcW w:type="dxa" w:w="33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The Spring Boot golden path (Doc 01 §4.2): ArchUnit, Money VO, CI workflow, Helm chart — used only by Ledger &amp; Pricing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 / Enablement</w:t>
            </w:r>
          </w:p>
        </w:tc>
        <w:tc>
          <w:tcPr>
            <w:tcW w:type="dxa" w:w="24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template repo</w:t>
            </w:r>
          </w:p>
        </w:tc>
      </w:tr>
    </w:tbl>
    <w:tbl>
      <w:tblPr>
        <w:tblW w:type="dxa" w:w="9350"/>
        <w:tblBorders>
          <w:top w:val="single" w:color="0A7E79" w:sz="6"/>
          <w:left w:val="single" w:color="0A7E79" w:sz="18"/>
          <w:bottom w:val="single" w:color="0A7E79" w:sz="6"/>
          <w:right w:val="single" w:color="0A7E79" w:sz="6"/>
          <w:insideH w:val="single" w:color="0A7E79" w:sz="6"/>
          <w:insideV w:val="single" w:color="0A7E79" w:sz="6"/>
        </w:tblBorders>
      </w:tblPr>
      <w:tblGrid>
        <w:gridCol w:w="9350"/>
      </w:tblGrid>
      <w:tr>
        <w:tc>
          <w:tcPr>
            <w:tcW w:type="dxa" w:w="9350"/>
            <w:shd w:fill="EAF2F8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0" w:line="290"/>
            </w:pPr>
            <w:r>
              <w:rPr>
                <w:rFonts w:ascii="Calibri" w:cs="Calibri" w:eastAsia="Calibri" w:hAnsi="Calibri"/>
                <w:b/>
                <w:bCs/>
                <w:color w:val="0A7E79"/>
                <w:sz w:val="21"/>
                <w:szCs w:val="21"/>
              </w:rPr>
              <w:t xml:space="preserve">Monorepo-per-domain, not monorepo-for-everything.  </w:t>
            </w:r>
            <w:r>
              <w:rPr>
                <w:rFonts w:ascii="Calibri" w:cs="Calibri" w:eastAsia="Calibri" w:hAnsi="Calibri"/>
                <w:color w:val="1E2A38"/>
                <w:sz w:val="21"/>
                <w:szCs w:val="21"/>
              </w:rPr>
              <w:t xml:space="preserve">Why the shared adapters are one repo, not eight: a small organisation cannot healthily maintain eight separately-plumbed repos with identical CI, and the Platform Adapters squad owns them all anyway. Inside the workspace each adapter versions, builds and deploys independently (path-filtered CI, per-adapter tags), so the governance model — adapters as versioned internal products — is preserved without repo sprawl. Split one out later only if its cadence or ownership genuinely diverges.</w:t>
            </w:r>
          </w:p>
        </w:tc>
      </w:tr>
    </w:tbl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2.1 Repository conventions (applied to every repo)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Naming: kebab-case; services inside workspaces as apps/&lt;name&gt;, packages as packages/&lt;name&gt;.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Every repo has: README (run it in 10 minutes), CODEOWNERS, CONTRIBUTING.md (points at this document), .github/ISSUE_TEMPLATE forms, PR template with a checklist, LICENSE-internal notice.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Default branch main. Branch protection (§4.4) enabled before the first PR, not after the first incident.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Conventional Commits enforced by commitlint on PR titles (squash merge makes the PR title the commit): feat:, fix:, chore:, docs:, refactor:, test:, perf: with optional scope — e.g. feat(tax): PK provincial rates v2.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Contracts live with the code: each service keeps /contracts/openapi.yaml and /contracts/events/*.avsc; a spec change is a PR (often the first PR of a feature) reviewed before implementation.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3. Specs, Requirements and Decisions in Git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2600"/>
        <w:gridCol w:w="3050"/>
        <w:gridCol w:w="3700"/>
      </w:tblGrid>
      <w:tr>
        <w:trPr>
          <w:tblHeader/>
        </w:trPr>
        <w:tc>
          <w:tcPr>
            <w:tcW w:type="dxa" w:w="26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Artifact</w:t>
            </w:r>
          </w:p>
        </w:tc>
        <w:tc>
          <w:tcPr>
            <w:tcW w:type="dxa" w:w="30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Where it lives</w:t>
            </w:r>
          </w:p>
        </w:tc>
        <w:tc>
          <w:tcPr>
            <w:tcW w:type="dxa" w:w="37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How it changes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Blueprint &amp; design specs (Docs 00–26)</w:t>
            </w:r>
          </w:p>
        </w:tc>
        <w:tc>
          <w:tcPr>
            <w:tcW w:type="dxa" w:w="3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platform-docs /blueprint + /design</w:t>
            </w:r>
          </w:p>
        </w:tc>
        <w:tc>
          <w:tcPr>
            <w:tcW w:type="dxa" w:w="37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PR with squad review; version bump recorded in the doc-control table</w:t>
            </w:r>
          </w:p>
        </w:tc>
      </w:tr>
      <w:tr>
        <w:tc>
          <w:tcPr>
            <w:tcW w:type="dxa" w:w="26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ADRs (architecture decisions)</w:t>
            </w:r>
          </w:p>
        </w:tc>
        <w:tc>
          <w:tcPr>
            <w:tcW w:type="dxa" w:w="3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platform-docs /adr/NNNN-title.md</w:t>
            </w:r>
          </w:p>
        </w:tc>
        <w:tc>
          <w:tcPr>
            <w:tcW w:type="dxa" w:w="37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ADR per decision; PR review by affected squads; superseding ADRs link back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RFCs (cross-squad proposals, esp. shared-adapter changes)</w:t>
            </w:r>
          </w:p>
        </w:tc>
        <w:tc>
          <w:tcPr>
            <w:tcW w:type="dxa" w:w="3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platform-docs /rfc + a GitHub Discussion for comment</w:t>
            </w:r>
          </w:p>
        </w:tc>
        <w:tc>
          <w:tcPr>
            <w:tcW w:type="dxa" w:w="37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Draft PR → discussion window → Platform Adapters squad decision recorded in the RFC</w:t>
            </w:r>
          </w:p>
        </w:tc>
      </w:tr>
      <w:tr>
        <w:tc>
          <w:tcPr>
            <w:tcW w:type="dxa" w:w="26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API &amp; event contracts</w:t>
            </w:r>
          </w:p>
        </w:tc>
        <w:tc>
          <w:tcPr>
            <w:tcW w:type="dxa" w:w="3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each service's /contracts</w:t>
            </w:r>
          </w:p>
        </w:tc>
        <w:tc>
          <w:tcPr>
            <w:tcW w:type="dxa" w:w="37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Spec-first PR; generated types/consumers update in the same or follow-up PR; Pact keeps consumers honest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Country rule packs (tax, compliance)</w:t>
            </w:r>
          </w:p>
        </w:tc>
        <w:tc>
          <w:tcPr>
            <w:tcW w:type="dxa" w:w="30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platform-adapters /packs/&lt;country&gt;</w:t>
            </w:r>
          </w:p>
        </w:tc>
        <w:tc>
          <w:tcPr>
            <w:tcW w:type="dxa" w:w="37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Maker PR + checker review (CODEOWNERS enforces the second approver); effective-dated, never edited in place</w:t>
            </w:r>
          </w:p>
        </w:tc>
      </w:tr>
      <w:tr>
        <w:tc>
          <w:tcPr>
            <w:tcW w:type="dxa" w:w="26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Requirements / user stories</w:t>
            </w:r>
          </w:p>
        </w:tc>
        <w:tc>
          <w:tcPr>
            <w:tcW w:type="dxa" w:w="30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Issues on the owning repo, organised by a GitHub Project (§6)</w:t>
            </w:r>
          </w:p>
        </w:tc>
        <w:tc>
          <w:tcPr>
            <w:tcW w:type="dxa" w:w="37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Issue forms → refinement → 'Ready' column; PRs link with Closes #NNN</w:t>
            </w:r>
          </w:p>
        </w:tc>
      </w:tr>
    </w:tbl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4. Branching Strategy</w:t>
      </w:r>
    </w:p>
    <w:p>
      <w:pPr>
        <w:spacing w:after="160" w:line="30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GitHub Flow plus tagged releases. Short-lived branches merge to a protected main; environments are fed by artifact promotion (tags + GitHub Environments approvals), not by branch merges.</w:t>
      </w:r>
    </w:p>
    <w:p>
      <w:pPr>
        <w:spacing w:after="60" w:before="120"/>
      </w:pPr>
      <w:r>
        <w:drawing>
          <wp:inline distT="0" distB="0" distL="0" distR="0">
            <wp:extent cx="3038475" cy="4095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5B6B7A"/>
          <w:sz w:val="19"/>
          <w:szCs w:val="19"/>
        </w:rPr>
        <w:t xml:space="preserve">Figure — branch and promotion flow: feature branches → PR → main → develop env automatically; staging and production by tags with environment approvals; hotfixes branch from the production tag and return via PR.</w:t>
      </w:r>
    </w:p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4.1 Branches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2450"/>
        <w:gridCol w:w="1900"/>
        <w:gridCol w:w="2100"/>
        <w:gridCol w:w="2900"/>
      </w:tblGrid>
      <w:tr>
        <w:trPr>
          <w:tblHeader/>
        </w:trPr>
        <w:tc>
          <w:tcPr>
            <w:tcW w:type="dxa" w:w="24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Branch</w:t>
            </w:r>
          </w:p>
        </w:tc>
        <w:tc>
          <w:tcPr>
            <w:tcW w:type="dxa" w:w="19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Created from</w:t>
            </w:r>
          </w:p>
        </w:tc>
        <w:tc>
          <w:tcPr>
            <w:tcW w:type="dxa" w:w="21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Merges to</w:t>
            </w:r>
          </w:p>
        </w:tc>
        <w:tc>
          <w:tcPr>
            <w:tcW w:type="dxa" w:w="29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Rules</w:t>
            </w:r>
          </w:p>
        </w:tc>
      </w:tr>
      <w:tr>
        <w:tc>
          <w:tcPr>
            <w:tcW w:type="dxa" w:w="24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—</w:t>
            </w:r>
          </w:p>
        </w:tc>
        <w:tc>
          <w:tcPr>
            <w:tcW w:type="dxa" w:w="2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—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Protected; always releasable; squash merges only; never commit directly</w:t>
            </w:r>
          </w:p>
        </w:tc>
      </w:tr>
      <w:tr>
        <w:tc>
          <w:tcPr>
            <w:tcW w:type="dxa" w:w="24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feature/&lt;issue&gt;-&lt;slug&gt;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</w:t>
            </w:r>
          </w:p>
        </w:tc>
        <w:tc>
          <w:tcPr>
            <w:tcW w:type="dxa" w:w="21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 via PR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issue, one branch; target &lt; 3 days of life; rebase on main, never merge main into it repeatedly</w:t>
            </w:r>
          </w:p>
        </w:tc>
      </w:tr>
      <w:tr>
        <w:tc>
          <w:tcPr>
            <w:tcW w:type="dxa" w:w="24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fix/&lt;issue&gt;-&lt;slug&gt;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</w:t>
            </w:r>
          </w:p>
        </w:tc>
        <w:tc>
          <w:tcPr>
            <w:tcW w:type="dxa" w:w="2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 via PR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Non-urgent defect fixes; same rules as feature</w:t>
            </w:r>
          </w:p>
        </w:tc>
      </w:tr>
      <w:tr>
        <w:tc>
          <w:tcPr>
            <w:tcW w:type="dxa" w:w="24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chore/&lt;slug&gt;, docs/&lt;slug&gt;, spike/&lt;slug&gt;</w:t>
            </w:r>
          </w:p>
        </w:tc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</w:t>
            </w:r>
          </w:p>
        </w:tc>
        <w:tc>
          <w:tcPr>
            <w:tcW w:type="dxa" w:w="21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main via PR (spikes may close unmerged)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Spikes are time-boxed and clearly labelled; spike code is never promoted directly</w:t>
            </w:r>
          </w:p>
        </w:tc>
      </w:tr>
      <w:tr>
        <w:tc>
          <w:tcPr>
            <w:tcW w:type="dxa" w:w="24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hotfix/&lt;issue&gt;-&lt;slug&gt;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the production tag (e.g. banking-v1.4.0)</w:t>
            </w:r>
          </w:p>
        </w:tc>
        <w:tc>
          <w:tcPr>
            <w:tcW w:type="dxa" w:w="2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PR to main + patch tag from the hotfix branch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Only for production-down/severity-1; produces v1.4.1 immediately, then reconciles to main the same day</w:t>
            </w:r>
          </w:p>
        </w:tc>
      </w:tr>
    </w:tbl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4.2 Releases and environment promotion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develop environment: every squash-merge to main auto-deploys the changed services to the shared develop cluster. No approval — this is the integration playground and it is allowed to break (briefly).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staging environment: a release manager cuts an RC tag from main (banking-v1.4.0-rc.1). The pipeline promotes the exact images already built for that commit — no rebuild — into staging after one approval on the GitHub 'staging' Environment. Staging runs the full E2E, Pact-verified, migration-rehearsed suite against production-shaped data.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production environments: sign-off on the RC produces the final tag (banking-v1.4.0). The pipeline deploys region by region — pk, then ae, then sa — each behind its own protected GitHub Environment requiring two approvals; the sa environment's deploy job runs against in-Kingdom infrastructure only.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Rollback is redeploying the previous tag through the same pipeline (ArgoCD makes this a pointer move). Database migrations must therefore be backward-compatible one version in each direction (expand–migrate–contract pattern).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Shared adapters version independently of the apps: adapter-tax-v1.2.0 can promote on its own cadence; consuming apps pin adapter versions and move deliberately (the vN / vN+1 deprecation-window rule from the governance model).</w:t>
      </w:r>
    </w:p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4.3 Pull request rules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Small by design: target &lt; 400 changed lines; anything bigger needs a stated reason in the description or gets split.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Reviews: 1 approval for app repos, 2 for platform-packages, platform-adapters and platform-infra; CODEOWNERS auto-requests the owning squad; authors never approve their own PR; stale approvals dismissed on new pushes.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The PR description answers: what, why, how tested, and links the issue (Closes #NNN). The template enforces a checklist: contracts updated? migration backward-compatible? docs/ADR touched if behaviour changed?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Merge method: squash only — linear history on main, PR title becomes the commit message (commitlint-checked).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Draft PRs early and often; CI runs on drafts so feedback is continuous.</w:t>
      </w:r>
    </w:p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4.4 Branch protection (main, every repo)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Require a pull request before merging; require approvals per §4.3; dismiss stale approvals; require review from CODEOWNERS.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Require status checks to pass (see §5.2 for the exact check names per repo) and require branches to be up to date before merging.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Require linear history; block force pushes and deletions; restrict who can push tags matching release patterns to the release-managers team.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Require signed commits is enabled from day one (developers set up SSH/GPG signing during onboarding, §7).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5. CI/CD, Environments and Hosting</w:t>
      </w:r>
    </w:p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5.1 The moving parts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1900"/>
        <w:gridCol w:w="2900"/>
        <w:gridCol w:w="4550"/>
      </w:tblGrid>
      <w:tr>
        <w:trPr>
          <w:tblHeader/>
        </w:trPr>
        <w:tc>
          <w:tcPr>
            <w:tcW w:type="dxa" w:w="19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Concern</w:t>
            </w:r>
          </w:p>
        </w:tc>
        <w:tc>
          <w:tcPr>
            <w:tcW w:type="dxa" w:w="29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Choice</w:t>
            </w:r>
          </w:p>
        </w:tc>
        <w:tc>
          <w:tcPr>
            <w:tcW w:type="dxa" w:w="45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CI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Actions</w:t>
            </w:r>
          </w:p>
        </w:tc>
        <w:tc>
          <w:tcPr>
            <w:tcW w:type="dxa" w:w="4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GitHub-hosted runners to start; move heavy Testcontainers jobs to self-hosted runners when the bill or queue times say so</w:t>
            </w:r>
          </w:p>
        </w:tc>
      </w:tr>
      <w:tr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Container registry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GHCR (ghcr.io) per org</w:t>
            </w:r>
          </w:p>
        </w:tc>
        <w:tc>
          <w:tcPr>
            <w:tcW w:type="dxa" w:w="45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Native to GitHub auth; images signed with cosign; mirrored/pulled into each region's cluster — the sa cluster pulls through an in-Kingdom mirror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CD / GitOps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ArgoCD in each cluster watching platform-infra /gitops overlays</w:t>
            </w:r>
          </w:p>
        </w:tc>
        <w:tc>
          <w:tcPr>
            <w:tcW w:type="dxa" w:w="4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Deploy = a PR (or automated bot PR) bumping an image tag in the right overlay; ArgoCD syncs; the git log IS the deployment audit trail</w:t>
            </w:r>
          </w:p>
        </w:tc>
      </w:tr>
      <w:tr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Environments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Environments: develop, staging, production-pk, production-ae, production-sa</w:t>
            </w:r>
          </w:p>
        </w:tc>
        <w:tc>
          <w:tcPr>
            <w:tcW w:type="dxa" w:w="45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Approvals and environment-scoped secrets live here; production-sa reviewers include the KSA compliance owner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Infrastructure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 in platform-infra, applied by Actions with OIDC federation to the cloud account(s)</w:t>
            </w:r>
          </w:p>
        </w:tc>
        <w:tc>
          <w:tcPr>
            <w:tcW w:type="dxa" w:w="4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No long-lived cloud keys in GitHub; plan on PR, apply on merge with environment approval</w:t>
            </w:r>
          </w:p>
        </w:tc>
      </w:tr>
      <w:tr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Runtime secrets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Vault (per plane) — apps never read GitHub secrets</w:t>
            </w:r>
          </w:p>
        </w:tc>
        <w:tc>
          <w:tcPr>
            <w:tcW w:type="dxa" w:w="45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GitHub Environment secrets are for pipelines only (registry, Pact broker, cloud OIDC role names)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Contract broker</w:t>
            </w:r>
          </w:p>
        </w:tc>
        <w:tc>
          <w:tcPr>
            <w:tcW w:type="dxa" w:w="29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Pact Broker (PactFlow SaaS to start, self-hostable later)</w:t>
            </w:r>
          </w:p>
        </w:tc>
        <w:tc>
          <w:tcPr>
            <w:tcW w:type="dxa" w:w="45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can-i-deploy gates every promotion; adapter CI verifies BOTH consumer apps</w:t>
            </w:r>
          </w:p>
        </w:tc>
      </w:tr>
      <w:tr>
        <w:tc>
          <w:tcPr>
            <w:tcW w:type="dxa" w:w="1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Clusters</w:t>
            </w:r>
          </w:p>
        </w:tc>
        <w:tc>
          <w:tcPr>
            <w:tcW w:type="dxa" w:w="29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1 shared develop cluster · 1 staging cluster · 3 production clusters (pk / ae / sa per Doc 00 §12)</w:t>
            </w:r>
          </w:p>
        </w:tc>
        <w:tc>
          <w:tcPr>
            <w:tcW w:type="dxa" w:w="45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develop/staging in the most convenient region; production-sa strictly in-Kingdom from day one so residency is proven early, not retrofitted</w:t>
            </w:r>
          </w:p>
        </w:tc>
      </w:tr>
    </w:tbl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5.2 Required checks per repo (the names branch protection enforces)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3100"/>
        <w:gridCol w:w="6250"/>
      </w:tblGrid>
      <w:tr>
        <w:trPr>
          <w:tblHeader/>
        </w:trPr>
        <w:tc>
          <w:tcPr>
            <w:tcW w:type="dxa" w:w="31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Repo</w:t>
            </w:r>
          </w:p>
        </w:tc>
        <w:tc>
          <w:tcPr>
            <w:tcW w:type="dxa" w:w="62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Required status checks</w:t>
            </w:r>
          </w:p>
        </w:tc>
      </w:tr>
      <w:tr>
        <w:tc>
          <w:tcPr>
            <w:tcW w:type="dxa" w:w="3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banking-app / takaful-app / platform-adapters (TS services)</w:t>
            </w:r>
          </w:p>
        </w:tc>
        <w:tc>
          <w:tcPr>
            <w:tcW w:type="dxa" w:w="62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lint-and-test (ESLint incl. money rule, tsc --noEmit, unit) · boundaries (dependency-cruiser) · security (CodeQL + dependency review + image scan) · component (Testcontainers PG/Kafka) · contracts (Pact verify — for platform-adapters this means BOTH apps) · build (image + cosign sign + SBOM)</w:t>
            </w:r>
          </w:p>
        </w:tc>
      </w:tr>
      <w:tr>
        <w:tc>
          <w:tcPr>
            <w:tcW w:type="dxa" w:w="31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banking-app JVM services (Ledger, Pricing)</w:t>
            </w:r>
          </w:p>
        </w:tc>
        <w:tc>
          <w:tcPr>
            <w:tcW w:type="dxa" w:w="62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lint-and-test (unit + jqwik property suite) · boundaries (ArchUnit) · security · component · contracts (Pact provider) · build</w:t>
            </w:r>
          </w:p>
        </w:tc>
      </w:tr>
      <w:tr>
        <w:tc>
          <w:tcPr>
            <w:tcW w:type="dxa" w:w="3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platform-packages</w:t>
            </w:r>
          </w:p>
        </w:tc>
        <w:tc>
          <w:tcPr>
            <w:tcW w:type="dxa" w:w="62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lint-and-test · boundaries · publish-dry-run (Changesets) · security</w:t>
            </w:r>
          </w:p>
        </w:tc>
      </w:tr>
      <w:tr>
        <w:tc>
          <w:tcPr>
            <w:tcW w:type="dxa" w:w="31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platform-infra</w:t>
            </w:r>
          </w:p>
        </w:tc>
        <w:tc>
          <w:tcPr>
            <w:tcW w:type="dxa" w:w="62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 fmt/validate · terraform plan (posted to the PR) · policy check (tflint/OPA) · kustomize/helm render of GitOps overlays</w:t>
            </w:r>
          </w:p>
        </w:tc>
      </w:tr>
      <w:tr>
        <w:tc>
          <w:tcPr>
            <w:tcW w:type="dxa" w:w="31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platform-docs</w:t>
            </w:r>
          </w:p>
        </w:tc>
        <w:tc>
          <w:tcPr>
            <w:tcW w:type="dxa" w:w="62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markdown lint · link check · ADR/RFC front-matter check</w:t>
            </w:r>
          </w:p>
        </w:tc>
      </w:tr>
    </w:tbl>
    <w:tbl>
      <w:tblPr>
        <w:tblW w:type="dxa" w:w="9350"/>
        <w:tblBorders>
          <w:top w:val="single" w:color="B9770E" w:sz="6"/>
          <w:left w:val="single" w:color="B9770E" w:sz="18"/>
          <w:bottom w:val="single" w:color="B9770E" w:sz="6"/>
          <w:right w:val="single" w:color="B9770E" w:sz="6"/>
          <w:insideH w:val="single" w:color="B9770E" w:sz="6"/>
          <w:insideV w:val="single" w:color="B9770E" w:sz="6"/>
        </w:tblBorders>
      </w:tblPr>
      <w:tblGrid>
        <w:gridCol w:w="9350"/>
      </w:tblGrid>
      <w:tr>
        <w:tc>
          <w:tcPr>
            <w:tcW w:type="dxa" w:w="9350"/>
            <w:shd w:fill="FDEBD0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0" w:line="290"/>
            </w:pPr>
            <w:r>
              <w:rPr>
                <w:rFonts w:ascii="Calibri" w:cs="Calibri" w:eastAsia="Calibri" w:hAnsi="Calibri"/>
                <w:b/>
                <w:bCs/>
                <w:color w:val="B9770E"/>
                <w:sz w:val="21"/>
                <w:szCs w:val="21"/>
              </w:rPr>
              <w:t xml:space="preserve">Dependency updates are day-one, not phase-two.  </w:t>
            </w:r>
            <w:r>
              <w:rPr>
                <w:rFonts w:ascii="Calibri" w:cs="Calibri" w:eastAsia="Calibri" w:hAnsi="Calibri"/>
                <w:color w:val="1E2A38"/>
                <w:sz w:val="21"/>
                <w:szCs w:val="21"/>
              </w:rPr>
              <w:t xml:space="preserve">Dependabot (or Renovate) is enabled on every repo from day one for npm, Maven/Gradle, Actions and Terraform providers, grouped weekly. Waiting until 'later' is how a platform ends up two majors behind on everything with a CVE backlog.</w:t>
            </w:r>
          </w:p>
        </w:tc>
      </w:tr>
    </w:tbl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6. Issues, Projects and Planning on GitHub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Issues live on the repo that owns the work (a tax-rule bug on platform-adapters; a claims story on takaful-app). Cross-cutting epics live on platform-docs and link child issues.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Issue forms (YAML templates) per type: Story (user value, acceptance criteria, definition of done), Bug (repro, expected/actual, severity), Tech task, RFC pointer, Incident. Free-form blank issues are disabled.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Labels — one taxonomy across all repos: type/{story,bug,tech,rfc,incident} · app/{banking,takaful,shared} · squad/&lt;name&gt; · priority/{p1,p2,p3} · phase/{A,B,C,D} · good-first-issue.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One organisation-level GitHub Project ('Platform Delivery') pulls issues from all repos. Fields: Status (Backlog → Ready → In Progress → In Review → Done), App, Squad, Phase, Priority, Target release. Squads may add filtered views; nobody maintains a second tracker.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Milestones map to the delivery phases (A: shared core build, B: three new adapters, C: Takaful PK pilot, D: scale-out) plus per-app release milestones (banking-v1.4.0).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PRs must link their issue (Closes #NNN) — the automation moves cards; humans do not drag them.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7. Developer Tooling (Per-Machine Checklist)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2350"/>
        <w:gridCol w:w="2350"/>
        <w:gridCol w:w="4650"/>
      </w:tblGrid>
      <w:tr>
        <w:trPr>
          <w:tblHeader/>
        </w:trPr>
        <w:tc>
          <w:tcPr>
            <w:tcW w:type="dxa" w:w="23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tcW w:type="dxa" w:w="23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Version / choice</w:t>
            </w:r>
          </w:p>
        </w:tc>
        <w:tc>
          <w:tcPr>
            <w:tcW w:type="dxa" w:w="46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Git + GitHub CLI (gh)</w:t>
            </w:r>
          </w:p>
        </w:tc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latest</w:t>
            </w:r>
          </w:p>
        </w:tc>
        <w:tc>
          <w:tcPr>
            <w:tcW w:type="dxa" w:w="46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Everything is PR-driven; gh makes issue/PR flow fast; commit signing configured (SSH signing is fine)</w:t>
            </w:r>
          </w:p>
        </w:tc>
      </w:tr>
      <w:tr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Node.js via Volta (or nvm)</w:t>
            </w:r>
          </w:p>
        </w:tc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22 LTS pinned per repo</w:t>
            </w:r>
          </w:p>
        </w:tc>
        <w:tc>
          <w:tcPr>
            <w:tcW w:type="dxa" w:w="46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TS services, adapters, packages; Volta pins per-project so 'works on my machine' dies early</w:t>
            </w:r>
          </w:p>
        </w:tc>
      </w:tr>
      <w:tr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npm (workspaces) + Changesets</w:t>
            </w:r>
          </w:p>
        </w:tc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npm 10+</w:t>
            </w:r>
          </w:p>
        </w:tc>
        <w:tc>
          <w:tcPr>
            <w:tcW w:type="dxa" w:w="46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Package management and versioned releases of @platform/*</w:t>
            </w:r>
          </w:p>
        </w:tc>
      </w:tr>
      <w:tr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Java (Temurin) + Gradle</w:t>
            </w:r>
          </w:p>
        </w:tc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21 LTS / Gradle 8</w:t>
            </w:r>
          </w:p>
        </w:tc>
        <w:tc>
          <w:tcPr>
            <w:tcW w:type="dxa" w:w="46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Ledger &amp; Pricing only; Gradle wrapper checked in — nobody installs a global Gradle</w:t>
            </w:r>
          </w:p>
        </w:tc>
      </w:tr>
      <w:tr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Docker (Desktop or Colima) + Compose</w:t>
            </w:r>
          </w:p>
        </w:tc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latest</w:t>
            </w:r>
          </w:p>
        </w:tc>
        <w:tc>
          <w:tcPr>
            <w:tcW w:type="dxa" w:w="46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docker compose --profile &lt;service&gt; runs local PG + Redpanda + mock adapters (Doc 01 §6)</w:t>
            </w:r>
          </w:p>
        </w:tc>
      </w:tr>
      <w:tr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kubectl + Helm + k9s</w:t>
            </w:r>
          </w:p>
        </w:tc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matching cluster minor</w:t>
            </w:r>
          </w:p>
        </w:tc>
        <w:tc>
          <w:tcPr>
            <w:tcW w:type="dxa" w:w="46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Cluster access read-only by default; write via GitOps PRs, not kubectl apply</w:t>
            </w:r>
          </w:p>
        </w:tc>
      </w:tr>
      <w:tr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</w:t>
            </w:r>
          </w:p>
        </w:tc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1.8+ (tfenv)</w:t>
            </w:r>
          </w:p>
        </w:tc>
        <w:tc>
          <w:tcPr>
            <w:tcW w:type="dxa" w:w="46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platform-infra contributors only; everyone else consumes</w:t>
            </w:r>
          </w:p>
        </w:tc>
      </w:tr>
      <w:tr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Pre-commit stack</w:t>
            </w:r>
          </w:p>
        </w:tc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husky + lint-staged + commitlint</w:t>
            </w:r>
          </w:p>
        </w:tc>
        <w:tc>
          <w:tcPr>
            <w:tcW w:type="dxa" w:w="46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Ships in both templates; formats, lints and checks the commit message before it ever reaches CI</w:t>
            </w:r>
          </w:p>
        </w:tc>
      </w:tr>
      <w:tr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IDE</w:t>
            </w:r>
          </w:p>
        </w:tc>
        <w:tc>
          <w:tcPr>
            <w:tcW w:type="dxa" w:w="2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VS Code (TS) / IntelliJ IDEA (JVM)</w:t>
            </w:r>
          </w:p>
        </w:tc>
        <w:tc>
          <w:tcPr>
            <w:tcW w:type="dxa" w:w="46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Shared settings + recommended-extensions checked into each repo (ESLint, dependency-cruiser viewer, SonarLint)</w:t>
            </w:r>
          </w:p>
        </w:tc>
      </w:tr>
      <w:tr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platform-cli (internal)</w:t>
            </w:r>
          </w:p>
        </w:tc>
        <w:tc>
          <w:tcPr>
            <w:tcW w:type="dxa" w:w="2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from platform-packages</w:t>
            </w:r>
          </w:p>
        </w:tc>
        <w:tc>
          <w:tcPr>
            <w:tcW w:type="dxa" w:w="46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Scaffolds a service from the right template, registers it with the local gateway, wires the Keycloak dev realm</w:t>
            </w:r>
          </w:p>
        </w:tc>
      </w:tr>
    </w:tbl>
    <w:p>
      <w:pPr>
        <w:pStyle w:val="Heading2"/>
        <w:spacing w:after="160" w:before="260"/>
      </w:pPr>
      <w:r>
        <w:rPr>
          <w:rFonts w:ascii="Calibri" w:cs="Calibri" w:eastAsia="Calibri" w:hAnsi="Calibri"/>
          <w:b/>
          <w:bCs/>
          <w:color w:val="0A7E79"/>
          <w:sz w:val="25"/>
          <w:szCs w:val="25"/>
        </w:rPr>
        <w:t xml:space="preserve">7.1 Access checklist (granted during onboarding, in this order)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GitHub org membership → squad team → repo permissions via teams only (never individual grants).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GHCR read (all) / write (via CI only — humans do not push images).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Pact Broker account; Vault dev-plane access; cloud SSO with read-only console for develop.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Environment approver roles: staging (release managers), production-pk/ae (squad leads), production-sa (squad leads + KSA compliance owner).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8. Day-One Setup Runbook (Execute in Order)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500"/>
        <w:gridCol w:w="5350"/>
        <w:gridCol w:w="3500"/>
      </w:tblGrid>
      <w:tr>
        <w:trPr>
          <w:tblHeader/>
        </w:trPr>
        <w:tc>
          <w:tcPr>
            <w:tcW w:type="dxa" w:w="5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3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35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Done when</w:t>
            </w:r>
          </w:p>
        </w:tc>
      </w:tr>
      <w:tr>
        <w:tc>
          <w:tcPr>
            <w:tcW w:type="dxa" w:w="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1</w:t>
            </w:r>
          </w:p>
        </w:tc>
        <w:tc>
          <w:tcPr>
            <w:tcW w:type="dxa" w:w="5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the GitHub organisation; enable 2FA-required, default read for members; create squad teams and the release-managers team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Org exists; teams mirror the squad map in Doc 23 §4</w:t>
            </w:r>
          </w:p>
        </w:tc>
      </w:tr>
      <w:tr>
        <w:tc>
          <w:tcPr>
            <w:tcW w:type="dxa" w:w="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2</w:t>
            </w:r>
          </w:p>
        </w:tc>
        <w:tc>
          <w:tcPr>
            <w:tcW w:type="dxa" w:w="5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platform-docs; commit the blueprint set (00–26), ADR template, RFC template, this document; enable Discussions</w:t>
            </w:r>
          </w:p>
        </w:tc>
        <w:tc>
          <w:tcPr>
            <w:tcW w:type="dxa" w:w="3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Docs repo is the single source of truth; first ADR (0001: repo &amp; branching strategy = this doc) merged</w:t>
            </w:r>
          </w:p>
        </w:tc>
      </w:tr>
      <w:tr>
        <w:tc>
          <w:tcPr>
            <w:tcW w:type="dxa" w:w="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3</w:t>
            </w:r>
          </w:p>
        </w:tc>
        <w:tc>
          <w:tcPr>
            <w:tcW w:type="dxa" w:w="5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service-template-ts and service-template-jvm as template repos with the full golden path (layout, guardrails, CI workflow, Helm chart, issue forms, PR template, CODEOWNERS stub)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 scaffolded hello-service passes every required check unmodified</w:t>
            </w:r>
          </w:p>
        </w:tc>
      </w:tr>
      <w:tr>
        <w:tc>
          <w:tcPr>
            <w:tcW w:type="dxa" w:w="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4</w:t>
            </w:r>
          </w:p>
        </w:tc>
        <w:tc>
          <w:tcPr>
            <w:tcW w:type="dxa" w:w="5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platform-packages; publish @platform/tsconfig, money, telemetry, oidc, pact-fixtures v0.1.0 via Changesets to GitHub Packages (npm)</w:t>
            </w:r>
          </w:p>
        </w:tc>
        <w:tc>
          <w:tcPr>
            <w:tcW w:type="dxa" w:w="3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 template-scaffolded service installs and builds against them</w:t>
            </w:r>
          </w:p>
        </w:tc>
      </w:tr>
      <w:tr>
        <w:tc>
          <w:tcPr>
            <w:tcW w:type="dxa" w:w="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5</w:t>
            </w:r>
          </w:p>
        </w:tc>
        <w:tc>
          <w:tcPr>
            <w:tcW w:type="dxa" w:w="5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platform-infra; Terraform the develop cluster + GHCR wiring + Vault dev; bootstrap ArgoCD watching /gitops/develop; set up GitHub OIDC → cloud federation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ArgoCD deploys the hello-service to develop from a GitOps PR</w:t>
            </w:r>
          </w:p>
        </w:tc>
      </w:tr>
      <w:tr>
        <w:tc>
          <w:tcPr>
            <w:tcW w:type="dxa" w:w="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6</w:t>
            </w:r>
          </w:p>
        </w:tc>
        <w:tc>
          <w:tcPr>
            <w:tcW w:type="dxa" w:w="5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Configure GitHub Environments (develop, staging, production-pk/ae/sa) with approvers and environment secrets; set branch protection + required checks on every repo; stand up the Pact Broker and wire can-i-deploy into the pipelines</w:t>
            </w:r>
          </w:p>
        </w:tc>
        <w:tc>
          <w:tcPr>
            <w:tcW w:type="dxa" w:w="3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 full promote of hello-service: merge → develop, rc tag → staging (1 approval), tag → production-pk (2 approvals) works end to end</w:t>
            </w:r>
          </w:p>
        </w:tc>
      </w:tr>
      <w:tr>
        <w:tc>
          <w:tcPr>
            <w:tcW w:type="dxa" w:w="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7</w:t>
            </w:r>
          </w:p>
        </w:tc>
        <w:tc>
          <w:tcPr>
            <w:tcW w:type="dxa" w:w="53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Create platform-adapters, banking-app, takaful-app from the templates; open the Phase-A epics and stories in the Platform Delivery project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Squads pick up 'Ready' issues; Phase A (build the five designed adapters + walking skeleton) begins</w:t>
            </w:r>
          </w:p>
        </w:tc>
      </w:tr>
      <w:tr>
        <w:tc>
          <w:tcPr>
            <w:tcW w:type="dxa" w:w="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8</w:t>
            </w:r>
          </w:p>
        </w:tc>
        <w:tc>
          <w:tcPr>
            <w:tcW w:type="dxa" w:w="53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Terraform staging, then production-pk (production-ae/sa follow their phases — but production-sa MUST be in-Kingdom from its first apply)</w:t>
            </w:r>
          </w:p>
        </w:tc>
        <w:tc>
          <w:tcPr>
            <w:tcW w:type="dxa" w:w="35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Staging live before the first RC; production-pk live before the Phase-C pilot</w:t>
            </w:r>
          </w:p>
        </w:tc>
      </w:tr>
    </w:tbl>
    <w:tbl>
      <w:tblPr>
        <w:tblW w:type="dxa" w:w="9350"/>
        <w:tblBorders>
          <w:top w:val="single" w:color="0A7E79" w:sz="6"/>
          <w:left w:val="single" w:color="0A7E79" w:sz="18"/>
          <w:bottom w:val="single" w:color="0A7E79" w:sz="6"/>
          <w:right w:val="single" w:color="0A7E79" w:sz="6"/>
          <w:insideH w:val="single" w:color="0A7E79" w:sz="6"/>
          <w:insideV w:val="single" w:color="0A7E79" w:sz="6"/>
        </w:tblBorders>
      </w:tblPr>
      <w:tblGrid>
        <w:gridCol w:w="9350"/>
      </w:tblGrid>
      <w:tr>
        <w:tc>
          <w:tcPr>
            <w:tcW w:type="dxa" w:w="9350"/>
            <w:shd w:fill="EAF2F8" w:val="clear"/>
            <w:tcMar>
              <w:top w:type="dxa" w:w="130"/>
              <w:left w:type="dxa" w:w="170"/>
              <w:bottom w:type="dxa" w:w="130"/>
              <w:right w:type="dxa" w:w="170"/>
            </w:tcMar>
          </w:tcPr>
          <w:p>
            <w:pPr>
              <w:spacing w:after="0" w:line="290"/>
            </w:pPr>
            <w:r>
              <w:rPr>
                <w:rFonts w:ascii="Calibri" w:cs="Calibri" w:eastAsia="Calibri" w:hAnsi="Calibri"/>
                <w:b/>
                <w:bCs/>
                <w:color w:val="0A7E79"/>
                <w:sz w:val="21"/>
                <w:szCs w:val="21"/>
              </w:rPr>
              <w:t xml:space="preserve">Prove the pipeline with the skeleton.  </w:t>
            </w:r>
            <w:r>
              <w:rPr>
                <w:rFonts w:ascii="Calibri" w:cs="Calibri" w:eastAsia="Calibri" w:hAnsi="Calibri"/>
                <w:color w:val="1E2A38"/>
                <w:sz w:val="21"/>
                <w:szCs w:val="21"/>
              </w:rPr>
              <w:t xml:space="preserve">Steps 1–6 are one to two weeks of Platform/Enablement work and they gate everything else. The walking skeleton (Doc 23, Phase 2) should be the first real code through the full merge → develop → staging → production-pk pipeline — proving the path to production before there is anything valuable to ship on it.</w:t>
            </w:r>
          </w:p>
        </w:tc>
      </w:tr>
    </w:tbl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9. Shared-Adapter Governance, Expressed in GitHub Mechanics</w:t>
      </w:r>
    </w:p>
    <w:tbl>
      <w:tblPr>
        <w:tblW w:type="dxa" w:w="9350"/>
        <w:tblBorders>
          <w:top w:val="single" w:color="D8E2E8" w:sz="4"/>
          <w:left w:val="single" w:color="D8E2E8" w:sz="4"/>
          <w:bottom w:val="single" w:color="D8E2E8" w:sz="4"/>
          <w:right w:val="single" w:color="D8E2E8" w:sz="4"/>
          <w:insideH w:val="single" w:color="D8E2E8" w:sz="4"/>
          <w:insideV w:val="single" w:color="D8E2E8" w:sz="4"/>
        </w:tblBorders>
      </w:tblPr>
      <w:tblGrid>
        <w:gridCol w:w="4200"/>
        <w:gridCol w:w="5150"/>
      </w:tblGrid>
      <w:tr>
        <w:trPr>
          <w:tblHeader/>
        </w:trPr>
        <w:tc>
          <w:tcPr>
            <w:tcW w:type="dxa" w:w="420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Governance rule (from the platform deck)</w:t>
            </w:r>
          </w:p>
        </w:tc>
        <w:tc>
          <w:tcPr>
            <w:tcW w:type="dxa" w:w="5150"/>
            <w:shd w:fill="0B1F3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GitHub mechanism that enforces it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Adapters are versioned internal products</w:t>
            </w:r>
          </w:p>
        </w:tc>
        <w:tc>
          <w:tcPr>
            <w:tcW w:type="dxa" w:w="51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Independent semver tags per adapter (adapter-tax-v1.2.0); release notes generated from Conventional Commits; a published roadmap as a pinned Project view</w:t>
            </w:r>
          </w:p>
        </w:tc>
      </w:tr>
      <w:tr>
        <w:tc>
          <w:tcPr>
            <w:tcW w:type="dxa" w:w="42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 change that breaks either consumer app cannot merge</w:t>
            </w:r>
          </w:p>
        </w:tc>
        <w:tc>
          <w:tcPr>
            <w:tcW w:type="dxa" w:w="51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The 'contracts' required check on platform-adapters runs Pact verification against BOTH banking-app and takaful-app pacts, plus can-i-deploy on promotion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One owning squad; apps contribute by RFC + inner-source PRs</w:t>
            </w:r>
          </w:p>
        </w:tc>
        <w:tc>
          <w:tcPr>
            <w:tcW w:type="dxa" w:w="51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CODEOWNERS = Platform Adapters squad on the whole repo; external-squad PRs welcome but merge requires owner approval; rfc label + Discussion thread for anything contract-shaped</w:t>
            </w:r>
          </w:p>
        </w:tc>
      </w:tr>
      <w:tr>
        <w:tc>
          <w:tcPr>
            <w:tcW w:type="dxa" w:w="420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Deprecation, never surprise (vN alongside vN+1)</w:t>
            </w:r>
          </w:p>
        </w:tc>
        <w:tc>
          <w:tcPr>
            <w:tcW w:type="dxa" w:w="5150"/>
            <w:shd w:fill="F4F8F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Both major versions kept deployable from tags; a deprecation issue with a milestone marks the migration window; consuming apps pin versions in their GitOps overlays</w:t>
            </w:r>
          </w:p>
        </w:tc>
      </w:tr>
      <w:tr>
        <w:tc>
          <w:tcPr>
            <w:tcW w:type="dxa" w:w="42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Per-app quotas / noisy-neighbour protection</w:t>
            </w:r>
          </w:p>
        </w:tc>
        <w:tc>
          <w:tcPr>
            <w:tcW w:type="dxa" w:w="515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 w:val="false"/>
                <w:bCs w:val="false"/>
                <w:color w:val="1E2A38"/>
                <w:sz w:val="20"/>
                <w:szCs w:val="20"/>
              </w:rPr>
              <w:t xml:space="preserve">app_id is part of the contract (Docs 24–26); dashboards and alerts split by app_id; quota configs live in the control-plane packs and change by PR like everything else</w:t>
            </w:r>
          </w:p>
        </w:tc>
      </w:tr>
    </w:tbl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Appendix A — If the Team Insists on a develop Branch (Classic Git Flow)</w:t>
      </w:r>
    </w:p>
    <w:p>
      <w:pPr>
        <w:spacing w:after="160" w:line="30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The recommendation above deliberately avoids a long-lived develop branch: it drifts from main, doubles merge work, hides integration pain until 'release hardening', and conflates branching with deployment. If, despite this, the team adopts classic Git Flow, the non-negotiables are: develop auto-deploys the develop environment; release/x.y branches are cut from develop, deploy staging, and merge to BOTH main and develop; main deploys production by tag; hotfixes branch from main and merge back to both. Every protection rule, required check and environment approval in §4–§5 applies unchanged. Revisit after one quarter — teams that start with Git Flow on a platform this size almost always simplify back to trunk-based flow once release cadence stabilises.</w:t>
      </w:r>
    </w:p>
    <w:p>
      <w:pPr>
        <w:pStyle w:val="Heading1"/>
        <w:spacing w:after="200" w:before="340"/>
      </w:pPr>
      <w:r>
        <w:rPr>
          <w:rFonts w:ascii="Calibri" w:cs="Calibri" w:eastAsia="Calibri" w:hAnsi="Calibri"/>
          <w:b/>
          <w:bCs/>
          <w:color w:val="0B1F3A"/>
          <w:sz w:val="30"/>
          <w:szCs w:val="30"/>
        </w:rPr>
        <w:t xml:space="preserve">Appendix B — Quick Reference Card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Start work: gh issue develop 1234 --checkout → branch feature/1234-slug off main.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Ship it: push → draft PR early → checks green → review → squash merge → auto-deploys develop.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Release: tag banking-v1.4.0-rc.1 → staging (1 approval) → sign-off → tag banking-v1.4.0 → production pk → ae → sa (2 approvals each).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Prod fire: hotfix/1301-slug from the prod tag → PR checks → tag v1.4.1 → promote → PR the fix back to main same day.</w:t>
      </w:r>
    </w:p>
    <w:p>
      <w:pPr>
        <w:pStyle w:val="ListParagraph"/>
        <w:numPr>
          <w:ilvl w:val="0"/>
          <w:numId w:val="2"/>
        </w:numPr>
        <w:spacing w:after="120" w:line="290"/>
      </w:pPr>
      <w:r>
        <w:rPr>
          <w:rFonts w:ascii="Calibri" w:cs="Calibri" w:eastAsia="Calibri" w:hAnsi="Calibri"/>
          <w:color w:val="1E2A38"/>
          <w:sz w:val="22"/>
          <w:szCs w:val="22"/>
        </w:rPr>
        <w:t xml:space="preserve">Never: commit to main, merge without green checks, deploy from a laptop, edit a rule pack in place, or push an image by hand.</w:t>
      </w:r>
    </w:p>
    <w:sectPr>
      <w:headerReference w:type="default" r:id="rId7"/>
      <w:footerReference w:type="default" r:id="rId8"/>
      <w:pgSz w:w="12240" w:h="15840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5B6B7A"/>
        <w:sz w:val="17"/>
        <w:szCs w:val="17"/>
      </w:rPr>
      <w:t xml:space="preserve">Confidential — Internal Use   ·   Page </w:t>
    </w:r>
    <w:r>
      <w:rPr>
        <w:rFonts w:ascii="Calibri" w:cs="Calibri" w:eastAsia="Calibri" w:hAnsi="Calibri"/>
        <w:color w:val="5B6B7A"/>
        <w:sz w:val="17"/>
        <w:szCs w:val="17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B6B7A"/>
        <w:sz w:val="17"/>
        <w:szCs w:val="17"/>
      </w:rPr>
      <w:t xml:space="preserve"> of </w:t>
    </w:r>
    <w:r>
      <w:rPr>
        <w:rFonts w:ascii="Calibri" w:cs="Calibri" w:eastAsia="Calibri" w:hAnsi="Calibri"/>
        <w:color w:val="5B6B7A"/>
        <w:sz w:val="17"/>
        <w:szCs w:val="17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color w:val="0A7E79"/>
        <w:sz w:val="17"/>
        <w:szCs w:val="17"/>
      </w:rPr>
      <w:t xml:space="preserve">Document 27 — Repository, Branching &amp; Development Readiness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60" w:hanging="23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4a5cef88ce1ad1166e0023762c293326b36ef6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2026-07-16T20:21:53.428Z</dcterms:created>
  <dcterms:modified xsi:type="dcterms:W3CDTF">2026-07-16T20:21:53.428Z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