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700"/>
      </w:pPr>
      <w:r>
        <w:rPr>
          <w:rFonts w:ascii="Calibri" w:cs="Calibri" w:eastAsia="Calibri" w:hAnsi="Calibri"/>
          <w:b/>
          <w:bCs/>
          <w:color w:val="0A7E79"/>
          <w:sz w:val="21"/>
          <w:szCs w:val="21"/>
        </w:rPr>
        <w:t xml:space="preserve">REPOSITORY CATALOG · DOCUMENT 28 · SHARED (BANKING + TAKAFUL)</w:t>
      </w:r>
    </w:p>
    <w:p>
      <w:pPr>
        <w:spacing w:after="200"/>
      </w:pPr>
      <w:r>
        <w:rPr>
          <w:rFonts w:ascii="Calibri" w:cs="Calibri" w:eastAsia="Calibri" w:hAnsi="Calibri"/>
          <w:b/>
          <w:bCs/>
          <w:color w:val="0B1F3A"/>
          <w:sz w:val="52"/>
          <w:szCs w:val="52"/>
        </w:rPr>
        <w:t xml:space="preserve">Repository Catalog &amp; Specification</w:t>
      </w:r>
    </w:p>
    <w:p>
      <w:pPr>
        <w:spacing w:after="200"/>
      </w:pPr>
      <w:r>
        <w:rPr>
          <w:rFonts w:ascii="Calibri" w:cs="Calibri" w:eastAsia="Calibri" w:hAnsi="Calibri"/>
          <w:b/>
          <w:bCs/>
          <w:color w:val="0A7E79"/>
          <w:sz w:val="27"/>
          <w:szCs w:val="27"/>
        </w:rPr>
        <w:t xml:space="preserve">Every Git repository we will create — name, purpose, contents, structure, dependencies, ownership and rules</w:t>
      </w:r>
    </w:p>
    <w:p>
      <w:pPr>
        <w:spacing w:after="420"/>
      </w:pPr>
      <w:r>
        <w:rPr>
          <w:rFonts w:ascii="Calibri" w:cs="Calibri" w:eastAsia="Calibri" w:hAnsi="Calibri"/>
          <w:i/>
          <w:iCs/>
          <w:color w:val="5B6B7A"/>
          <w:sz w:val="22"/>
          <w:szCs w:val="22"/>
        </w:rPr>
        <w:t xml:space="preserve">The definitive per-repository reference. Document 27 defined how we branch and ship; this document defines exactly which repositories exist, what goes in each, what must never go in each, and how they depend on one another.</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300"/>
        <w:gridCol w:w="7050"/>
      </w:tblGrid>
      <w:tr>
        <w:trPr>
          <w:tblHeader/>
        </w:trPr>
        <w:tc>
          <w:tcPr>
            <w:tcW w:type="dxa" w:w="23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Field</w:t>
            </w:r>
          </w:p>
        </w:tc>
        <w:tc>
          <w:tcPr>
            <w:tcW w:type="dxa" w:w="70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Details</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Document title</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Repository Catalog &amp; Specification</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Part of</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Product Architecture Blueprint v3.1 + Shared Adapter Platform (Banking + Takaful)</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Companion to</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Document 27 (branching, environments, CI/CD, day-one runbook)</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Repository count</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8 (2 template repos, 1 packages, 1 shared-adapters, 2 apps, 1 infra, 1 docs)</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GitHub — one organisation, team-based access</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Owning squad</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 / Enablement</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Status</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Ready to execute — create repos in the order given in §10</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Version</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1.0</w:t>
            </w:r>
          </w:p>
        </w:tc>
      </w:tr>
      <w:tr>
        <w:tc>
          <w:tcPr>
            <w:tcW w:type="dxa" w:w="23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Date</w:t>
            </w:r>
          </w:p>
        </w:tc>
        <w:tc>
          <w:tcPr>
            <w:tcW w:type="dxa" w:w="7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16 July 2026</w:t>
            </w:r>
          </w:p>
        </w:tc>
      </w:tr>
      <w:tr>
        <w:tc>
          <w:tcPr>
            <w:tcW w:type="dxa" w:w="23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Classification</w:t>
            </w:r>
          </w:p>
        </w:tc>
        <w:tc>
          <w:tcPr>
            <w:tcW w:type="dxa" w:w="7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Confidential — Internal Use</w:t>
            </w:r>
          </w:p>
        </w:tc>
      </w:tr>
    </w:tbl>
    <w:p>
      <w:r>
        <w:br w:type="page"/>
      </w:r>
    </w:p>
    <w:p>
      <w:pPr>
        <w:pStyle w:val="Heading1"/>
        <w:spacing w:after="200" w:before="340"/>
      </w:pPr>
      <w:r>
        <w:rPr>
          <w:rFonts w:ascii="Calibri" w:cs="Calibri" w:eastAsia="Calibri" w:hAnsi="Calibri"/>
          <w:b/>
          <w:bCs/>
          <w:color w:val="0B1F3A"/>
          <w:sz w:val="30"/>
          <w:szCs w:val="30"/>
        </w:rPr>
        <w:t xml:space="preserve">1. Purpose and How to Read This Document</w:t>
      </w:r>
    </w:p>
    <w:p>
      <w:pPr>
        <w:spacing w:after="160" w:line="300"/>
      </w:pPr>
      <w:r>
        <w:rPr>
          <w:rFonts w:ascii="Calibri" w:cs="Calibri" w:eastAsia="Calibri" w:hAnsi="Calibri"/>
          <w:color w:val="1E2A38"/>
          <w:sz w:val="22"/>
          <w:szCs w:val="22"/>
        </w:rPr>
        <w:t xml:space="preserve">This is the repository catalog. For every Git repository the programme needs, it states the name, one-line purpose, what it contains, its internal folder structure, what it depends on, what must never live in it, who owns it, and how it is versioned and released. Document 27 remains the authority on branching, environments and CI mechanics; where the two touch, this document cross-references rather than repeats.</w:t>
      </w:r>
    </w:p>
    <w:p>
      <w:pPr>
        <w:spacing w:after="160" w:line="300"/>
      </w:pPr>
      <w:r>
        <w:rPr>
          <w:rFonts w:ascii="Calibri" w:cs="Calibri" w:eastAsia="Calibri" w:hAnsi="Calibri"/>
          <w:color w:val="1E2A38"/>
          <w:sz w:val="22"/>
          <w:szCs w:val="22"/>
        </w:rPr>
        <w:t xml:space="preserve">Read §2 first (the shape and the rules that apply to all repos), then §4–§9 for the deep specification of each repository, then §10 for the exact creation order. The single most important idea is in §3: repositories form a strict one-way dependency graph, and keeping it acyclic is what stops a small team from tangling the codebase.</w:t>
      </w:r>
    </w:p>
    <w:p>
      <w:pPr>
        <w:pStyle w:val="Heading1"/>
        <w:spacing w:after="200" w:before="340"/>
      </w:pPr>
      <w:r>
        <w:rPr>
          <w:rFonts w:ascii="Calibri" w:cs="Calibri" w:eastAsia="Calibri" w:hAnsi="Calibri"/>
          <w:b/>
          <w:bCs/>
          <w:color w:val="0B1F3A"/>
          <w:sz w:val="30"/>
          <w:szCs w:val="30"/>
        </w:rPr>
        <w:t xml:space="preserve">2. The Shape: Eight Repositories, Three Tiers</w:t>
      </w:r>
    </w:p>
    <w:p>
      <w:pPr>
        <w:spacing w:after="160" w:line="300"/>
      </w:pPr>
      <w:r>
        <w:rPr>
          <w:rFonts w:ascii="Calibri" w:cs="Calibri" w:eastAsia="Calibri" w:hAnsi="Calibri"/>
          <w:color w:val="1E2A38"/>
          <w:sz w:val="22"/>
          <w:szCs w:val="22"/>
        </w:rPr>
        <w:t xml:space="preserve">The repositories fall into three tiers by how often they change and who depends on them. Foundational repos change rarely and everything depends on them; product repos change constantly and depend downward; operational repos wire it all together.</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1500"/>
        <w:gridCol w:w="2650"/>
        <w:gridCol w:w="5200"/>
      </w:tblGrid>
      <w:tr>
        <w:trPr>
          <w:tblHeader/>
        </w:trPr>
        <w:tc>
          <w:tcPr>
            <w:tcW w:type="dxa" w:w="15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Tier</w:t>
            </w:r>
          </w:p>
        </w:tc>
        <w:tc>
          <w:tcPr>
            <w:tcW w:type="dxa" w:w="26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Repository</w:t>
            </w:r>
          </w:p>
        </w:tc>
        <w:tc>
          <w:tcPr>
            <w:tcW w:type="dxa" w:w="52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One-line purpose</w:t>
            </w:r>
          </w:p>
        </w:tc>
      </w:tr>
      <w:tr>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Templates</w:t>
            </w:r>
          </w:p>
        </w:tc>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service-template-ts</w:t>
            </w:r>
          </w:p>
        </w:tc>
        <w:tc>
          <w:tcPr>
            <w:tcW w:type="dxa" w:w="5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NestJS golden path — copied to start any TypeScript service</w:t>
            </w:r>
          </w:p>
        </w:tc>
      </w:tr>
      <w:tr>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Templates</w:t>
            </w:r>
          </w:p>
        </w:tc>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service-template-jvm</w:t>
            </w:r>
          </w:p>
        </w:tc>
        <w:tc>
          <w:tcPr>
            <w:tcW w:type="dxa" w:w="5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Spring Boot golden path — copied only for Ledger and Pricing</w:t>
            </w:r>
          </w:p>
        </w:tc>
      </w:tr>
      <w:tr>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Foundation</w:t>
            </w:r>
          </w:p>
        </w:tc>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platform-packages</w:t>
            </w:r>
          </w:p>
        </w:tc>
        <w:tc>
          <w:tcPr>
            <w:tcW w:type="dxa" w:w="5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Shared libraries every service imports (money, tsconfig, telemetry, oidc, persistence-ts, pact-fixtures)</w:t>
            </w:r>
          </w:p>
        </w:tc>
      </w:tr>
      <w:tr>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Foundation</w:t>
            </w:r>
          </w:p>
        </w:tc>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platform-adapters</w:t>
            </w:r>
          </w:p>
        </w:tc>
        <w:tc>
          <w:tcPr>
            <w:tcW w:type="dxa" w:w="5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network-boundary shared adapters serving both apps (15·16·18·19·20·21·24·25·26)</w:t>
            </w:r>
          </w:p>
        </w:tc>
      </w:tr>
      <w:tr>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Product</w:t>
            </w:r>
          </w:p>
        </w:tc>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banking-app</w:t>
            </w:r>
          </w:p>
        </w:tc>
        <w:tc>
          <w:tcPr>
            <w:tcW w:type="dxa" w:w="5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Digital Banking &amp; Remittance application (TS services + the two JVM services + the FX library)</w:t>
            </w:r>
          </w:p>
        </w:tc>
      </w:tr>
      <w:tr>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Product</w:t>
            </w:r>
          </w:p>
        </w:tc>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takaful-app</w:t>
            </w:r>
          </w:p>
        </w:tc>
        <w:tc>
          <w:tcPr>
            <w:tcW w:type="dxa" w:w="5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Takaful (Islamic insurance) application</w:t>
            </w:r>
          </w:p>
        </w:tc>
      </w:tr>
      <w:tr>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Operational</w:t>
            </w:r>
          </w:p>
        </w:tc>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platform-infra</w:t>
            </w:r>
          </w:p>
        </w:tc>
        <w:tc>
          <w:tcPr>
            <w:tcW w:type="dxa" w:w="52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Terraform modules and the ArgoCD GitOps deployment state for every environment</w:t>
            </w:r>
          </w:p>
        </w:tc>
      </w:tr>
      <w:tr>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Operational</w:t>
            </w:r>
          </w:p>
        </w:tc>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platform-docs</w:t>
            </w:r>
          </w:p>
        </w:tc>
        <w:tc>
          <w:tcPr>
            <w:tcW w:type="dxa" w:w="52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Blueprints, design docs, ADRs, RFCs — the source of truth for decisions</w:t>
            </w:r>
          </w:p>
        </w:tc>
      </w:tr>
    </w:tbl>
    <w:p>
      <w:pPr>
        <w:pStyle w:val="Heading2"/>
        <w:spacing w:after="160" w:before="260"/>
      </w:pPr>
      <w:r>
        <w:rPr>
          <w:rFonts w:ascii="Calibri" w:cs="Calibri" w:eastAsia="Calibri" w:hAnsi="Calibri"/>
          <w:b/>
          <w:bCs/>
          <w:color w:val="0A7E79"/>
          <w:sz w:val="25"/>
          <w:szCs w:val="25"/>
        </w:rPr>
        <w:t xml:space="preserve">2.1 Rules that apply to every repository</w:t>
      </w:r>
    </w:p>
    <w:p>
      <w:pPr>
        <w:pStyle w:val="ListParagraph"/>
        <w:numPr>
          <w:ilvl w:val="0"/>
          <w:numId w:val="2"/>
        </w:numPr>
        <w:spacing w:after="120" w:line="290"/>
      </w:pPr>
      <w:r>
        <w:rPr>
          <w:rFonts w:ascii="Calibri" w:cs="Calibri" w:eastAsia="Calibri" w:hAnsi="Calibri"/>
          <w:color w:val="1E2A38"/>
          <w:sz w:val="22"/>
          <w:szCs w:val="22"/>
        </w:rPr>
        <w:t xml:space="preserve">Default branch main, protected per Document 27 §4.4, before the first PR.</w:t>
      </w:r>
    </w:p>
    <w:p>
      <w:pPr>
        <w:pStyle w:val="ListParagraph"/>
        <w:numPr>
          <w:ilvl w:val="0"/>
          <w:numId w:val="2"/>
        </w:numPr>
        <w:spacing w:after="120" w:line="290"/>
      </w:pPr>
      <w:r>
        <w:rPr>
          <w:rFonts w:ascii="Calibri" w:cs="Calibri" w:eastAsia="Calibri" w:hAnsi="Calibri"/>
          <w:color w:val="1E2A38"/>
          <w:sz w:val="22"/>
          <w:szCs w:val="22"/>
        </w:rPr>
        <w:t xml:space="preserve">Every repo ships: README (clone-to-running in 10 minutes), CODEOWNERS, CONTRIBUTING.md (points at Doc 27), .github/ (issue-form templates, PR template, workflows), LICENSE-internal notice.</w:t>
      </w:r>
    </w:p>
    <w:p>
      <w:pPr>
        <w:pStyle w:val="ListParagraph"/>
        <w:numPr>
          <w:ilvl w:val="0"/>
          <w:numId w:val="2"/>
        </w:numPr>
        <w:spacing w:after="120" w:line="290"/>
      </w:pPr>
      <w:r>
        <w:rPr>
          <w:rFonts w:ascii="Calibri" w:cs="Calibri" w:eastAsia="Calibri" w:hAnsi="Calibri"/>
          <w:color w:val="1E2A38"/>
          <w:sz w:val="22"/>
          <w:szCs w:val="22"/>
        </w:rPr>
        <w:t xml:space="preserve">Conventional Commits on PR titles (squash-merge makes the title the commit message); commitlint enforces it.</w:t>
      </w:r>
    </w:p>
    <w:p>
      <w:pPr>
        <w:pStyle w:val="ListParagraph"/>
        <w:numPr>
          <w:ilvl w:val="0"/>
          <w:numId w:val="2"/>
        </w:numPr>
        <w:spacing w:after="120" w:line="290"/>
      </w:pPr>
      <w:r>
        <w:rPr>
          <w:rFonts w:ascii="Calibri" w:cs="Calibri" w:eastAsia="Calibri" w:hAnsi="Calibri"/>
          <w:color w:val="1E2A38"/>
          <w:sz w:val="22"/>
          <w:szCs w:val="22"/>
        </w:rPr>
        <w:t xml:space="preserve">Access is granted to GitHub teams, never to individuals; a person gets access by being in a squad team (§11).</w:t>
      </w:r>
    </w:p>
    <w:p>
      <w:pPr>
        <w:pStyle w:val="ListParagraph"/>
        <w:numPr>
          <w:ilvl w:val="0"/>
          <w:numId w:val="2"/>
        </w:numPr>
        <w:spacing w:after="120" w:line="290"/>
      </w:pPr>
      <w:r>
        <w:rPr>
          <w:rFonts w:ascii="Calibri" w:cs="Calibri" w:eastAsia="Calibri" w:hAnsi="Calibri"/>
          <w:color w:val="1E2A38"/>
          <w:sz w:val="22"/>
          <w:szCs w:val="22"/>
        </w:rPr>
        <w:t xml:space="preserve">Secrets never live in the repo. Pipeline secrets live in GitHub Environments; runtime secrets live in Vault (Doc 27 §5.1).</w:t>
      </w:r>
    </w:p>
    <w:p>
      <w:pPr>
        <w:pStyle w:val="ListParagraph"/>
        <w:numPr>
          <w:ilvl w:val="0"/>
          <w:numId w:val="2"/>
        </w:numPr>
        <w:spacing w:after="120" w:line="290"/>
      </w:pPr>
      <w:r>
        <w:rPr>
          <w:rFonts w:ascii="Calibri" w:cs="Calibri" w:eastAsia="Calibri" w:hAnsi="Calibri"/>
          <w:color w:val="1E2A38"/>
          <w:sz w:val="22"/>
          <w:szCs w:val="22"/>
        </w:rPr>
        <w:t xml:space="preserve">Every repo has Dependabot enabled for its ecosystem(s) from creation, grouped weekly.</w:t>
      </w:r>
    </w:p>
    <w:p>
      <w:pPr>
        <w:pStyle w:val="Heading1"/>
        <w:spacing w:after="200" w:before="340"/>
      </w:pPr>
      <w:r>
        <w:rPr>
          <w:rFonts w:ascii="Calibri" w:cs="Calibri" w:eastAsia="Calibri" w:hAnsi="Calibri"/>
          <w:b/>
          <w:bCs/>
          <w:color w:val="0B1F3A"/>
          <w:sz w:val="30"/>
          <w:szCs w:val="30"/>
        </w:rPr>
        <w:t xml:space="preserve">3. The Dependency Graph (Keep It Acyclic)</w:t>
      </w:r>
    </w:p>
    <w:p>
      <w:pPr>
        <w:spacing w:after="160" w:line="300"/>
      </w:pPr>
      <w:r>
        <w:rPr>
          <w:rFonts w:ascii="Calibri" w:cs="Calibri" w:eastAsia="Calibri" w:hAnsi="Calibri"/>
          <w:color w:val="1E2A38"/>
          <w:sz w:val="22"/>
          <w:szCs w:val="22"/>
        </w:rPr>
        <w:t xml:space="preserve">Repositories may only depend downward. platform-packages depends on nothing internal and is depended on by everything. The two apps depend on platform-packages (compile-time) and on platform-adapters (runtime, contract-verified). Nothing may create a cycle — a dependency from platform-adapters back into an app, or from platform-packages into anything, is forbidden and will be rejected in review.</w:t>
      </w:r>
    </w:p>
    <w:p>
      <w:pPr>
        <w:spacing w:after="60" w:before="120"/>
      </w:pPr>
      <w:r>
        <w:drawing>
          <wp:inline distT="0" distB="0" distL="0" distR="0">
            <wp:extent cx="6848475"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848475" cy="2857500"/>
                    </a:xfrm>
                    <a:prstGeom prst="rect">
                      <a:avLst/>
                    </a:prstGeom>
                  </pic:spPr>
                </pic:pic>
              </a:graphicData>
            </a:graphic>
          </wp:inline>
        </w:drawing>
      </w:r>
    </w:p>
    <w:p>
      <w:pPr>
        <w:spacing w:after="160" w:line="300"/>
      </w:pPr>
      <w:r>
        <w:rPr>
          <w:rFonts w:ascii="Calibri" w:cs="Calibri" w:eastAsia="Calibri" w:hAnsi="Calibri"/>
          <w:i/>
          <w:iCs/>
          <w:color w:val="5B6B7A"/>
          <w:sz w:val="19"/>
          <w:szCs w:val="19"/>
        </w:rPr>
        <w:t xml:space="preserve">Figure — repository dependency graph. Solid arrows are code dependencies; dashed arrows are 'deploys the images built by'. The graph is a DAG: every path leads down to platform-packages and none leads back up.</w:t>
      </w:r>
    </w:p>
    <w:tbl>
      <w:tblPr>
        <w:tblW w:type="dxa" w:w="9350"/>
        <w:tblBorders>
          <w:top w:val="single" w:color="B9770E" w:sz="6"/>
          <w:left w:val="single" w:color="B9770E" w:sz="18"/>
          <w:bottom w:val="single" w:color="B9770E" w:sz="6"/>
          <w:right w:val="single" w:color="B9770E" w:sz="6"/>
          <w:insideH w:val="single" w:color="B9770E" w:sz="6"/>
          <w:insideV w:val="single" w:color="B9770E" w:sz="6"/>
        </w:tblBorders>
      </w:tblPr>
      <w:tblGrid>
        <w:gridCol w:w="9350"/>
      </w:tblGrid>
      <w:tr>
        <w:tc>
          <w:tcPr>
            <w:tcW w:type="dxa" w:w="9350"/>
            <w:shd w:fill="FDEBD0" w:val="clear"/>
            <w:tcMar>
              <w:top w:type="dxa" w:w="130"/>
              <w:left w:type="dxa" w:w="170"/>
              <w:bottom w:type="dxa" w:w="130"/>
              <w:right w:type="dxa" w:w="170"/>
            </w:tcMar>
          </w:tcPr>
          <w:p>
            <w:pPr>
              <w:spacing w:after="0" w:line="290"/>
            </w:pPr>
            <w:r>
              <w:rPr>
                <w:rFonts w:ascii="Calibri" w:cs="Calibri" w:eastAsia="Calibri" w:hAnsi="Calibri"/>
                <w:b/>
                <w:bCs/>
                <w:color w:val="B9770E"/>
                <w:sz w:val="21"/>
                <w:szCs w:val="21"/>
              </w:rPr>
              <w:t xml:space="preserve">Three things that are NOT where you'd guess.  </w:t>
            </w:r>
            <w:r>
              <w:rPr>
                <w:rFonts w:ascii="Calibri" w:cs="Calibri" w:eastAsia="Calibri" w:hAnsi="Calibri"/>
                <w:color w:val="1E2A38"/>
                <w:sz w:val="21"/>
                <w:szCs w:val="21"/>
              </w:rPr>
              <w:t xml:space="preserve">Three placements are counter-intuitive and are the most common filing mistakes — memorise them. (1) The FX adapter (Doc 17) is a Java in-process library, so it lives inside banking-app next to Ledger and Pricing, NOT in platform-adapters. (2) The OIDC adapter (Doc 22) is really a client library, so it ships from platform-packages as @platform/oidc, NOT as a deployable adapter. (3) The Persistence adapter (Doc 14) is dual-language: its TypeScript form is @platform/persistence-ts in platform-packages, and its Java form ships as a small library inside banking-app for the two JVM services. 'Adapter' in the hexagonal sense does not always mean 'a deployable service in platform-adapters'.</w:t>
            </w:r>
          </w:p>
        </w:tc>
      </w:tr>
    </w:tbl>
    <w:p>
      <w:pPr>
        <w:pStyle w:val="Heading1"/>
        <w:spacing w:after="200" w:before="340"/>
      </w:pPr>
      <w:r>
        <w:rPr>
          <w:rFonts w:ascii="Calibri" w:cs="Calibri" w:eastAsia="Calibri" w:hAnsi="Calibri"/>
          <w:b/>
          <w:bCs/>
          <w:color w:val="0B1F3A"/>
          <w:sz w:val="30"/>
          <w:szCs w:val="30"/>
        </w:rPr>
        <w:t xml:space="preserve">4. Repository: platform-packages</w:t>
      </w:r>
    </w:p>
    <w:p>
      <w:pPr>
        <w:spacing w:after="160" w:line="300"/>
      </w:pPr>
      <w:r>
        <w:rPr>
          <w:rFonts w:ascii="Calibri" w:cs="Calibri" w:eastAsia="Calibri" w:hAnsi="Calibri"/>
          <w:color w:val="1E2A38"/>
          <w:sz w:val="22"/>
          <w:szCs w:val="22"/>
        </w:rPr>
        <w:t xml:space="preserve">Purpose: the shared libraries every service compiles against. An npm/TypeScript workspace publishing independently-versioned packages to GitHub Packages. This is the most depended-upon repository in the programme, so it changes carefully and is reviewed by two people.</w:t>
      </w:r>
    </w:p>
    <w:p>
      <w:pPr>
        <w:pStyle w:val="Heading2"/>
        <w:spacing w:after="160" w:before="260"/>
      </w:pPr>
      <w:r>
        <w:rPr>
          <w:rFonts w:ascii="Calibri" w:cs="Calibri" w:eastAsia="Calibri" w:hAnsi="Calibri"/>
          <w:b/>
          <w:bCs/>
          <w:color w:val="0A7E79"/>
          <w:sz w:val="25"/>
          <w:szCs w:val="25"/>
        </w:rPr>
        <w:t xml:space="preserve">4.1 Contents</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350"/>
        <w:gridCol w:w="4100"/>
        <w:gridCol w:w="2900"/>
      </w:tblGrid>
      <w:tr>
        <w:trPr>
          <w:tblHeader/>
        </w:trPr>
        <w:tc>
          <w:tcPr>
            <w:tcW w:type="dxa" w:w="23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Package</w:t>
            </w:r>
          </w:p>
        </w:tc>
        <w:tc>
          <w:tcPr>
            <w:tcW w:type="dxa" w:w="4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What it is</w:t>
            </w:r>
          </w:p>
        </w:tc>
        <w:tc>
          <w:tcPr>
            <w:tcW w:type="dxa" w:w="29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Notes</w:t>
            </w:r>
          </w:p>
        </w:tc>
      </w:tr>
      <w:tr>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@platform/money</w:t>
            </w:r>
          </w:p>
        </w:tc>
        <w:tc>
          <w:tcPr>
            <w:tcW w:type="dxa" w:w="4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Integer-minor-unit money type over dinero.js + the custom ESLint rule banning native-number money</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single most important package; a bug here is a money bug everywhere</w:t>
            </w:r>
          </w:p>
        </w:tc>
      </w:tr>
      <w:tr>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@platform/tsconfig</w:t>
            </w:r>
          </w:p>
        </w:tc>
        <w:tc>
          <w:tcPr>
            <w:tcW w:type="dxa" w:w="4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strict base tsconfig every TS repo extends</w:t>
            </w:r>
          </w:p>
        </w:tc>
        <w:tc>
          <w:tcPr>
            <w:tcW w:type="dxa" w:w="2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strict, noImplicitAny, exactOptionalPropertyTypes, noUncheckedIndexedAccess</w:t>
            </w:r>
          </w:p>
        </w:tc>
      </w:tr>
      <w:tr>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@platform/telemetry</w:t>
            </w:r>
          </w:p>
        </w:tc>
        <w:tc>
          <w:tcPr>
            <w:tcW w:type="dxa" w:w="4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OpenTelemetry + structured-logging setup with tenant_id/app_id/correlation_id fields</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Import-and-go observability so every service is consistent</w:t>
            </w:r>
          </w:p>
        </w:tc>
      </w:tr>
      <w:tr>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@platform/oidc</w:t>
            </w:r>
          </w:p>
        </w:tc>
        <w:tc>
          <w:tcPr>
            <w:tcW w:type="dxa" w:w="4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OIDC client + JwtTenantGuard (Doc 22, TS side)</w:t>
            </w:r>
          </w:p>
        </w:tc>
        <w:tc>
          <w:tcPr>
            <w:tcW w:type="dxa" w:w="2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Client library, not a service — this is why Doc 22 lives here</w:t>
            </w:r>
          </w:p>
        </w:tc>
      </w:tr>
      <w:tr>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@platform/persistence-ts</w:t>
            </w:r>
          </w:p>
        </w:tc>
        <w:tc>
          <w:tcPr>
            <w:tcW w:type="dxa" w:w="4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TS RepositoryPort + silo/bridge/pool connection router + RLS helpers (Doc 14, TS side)</w:t>
            </w:r>
          </w:p>
        </w:tc>
        <w:tc>
          <w:tcPr>
            <w:tcW w:type="dxa" w:w="29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Java twin lives in banking-app (§6.4)</w:t>
            </w:r>
          </w:p>
        </w:tc>
      </w:tr>
      <w:tr>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@platform/pact-fixtures</w:t>
            </w:r>
          </w:p>
        </w:tc>
        <w:tc>
          <w:tcPr>
            <w:tcW w:type="dxa" w:w="4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Shared Pact helpers and the broker-publish harness</w:t>
            </w:r>
          </w:p>
        </w:tc>
        <w:tc>
          <w:tcPr>
            <w:tcW w:type="dxa" w:w="29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Keeps contract testing identical across repos</w:t>
            </w:r>
          </w:p>
        </w:tc>
      </w:tr>
    </w:tbl>
    <w:p>
      <w:pPr>
        <w:pStyle w:val="Heading2"/>
        <w:spacing w:after="160" w:before="260"/>
      </w:pPr>
      <w:r>
        <w:rPr>
          <w:rFonts w:ascii="Calibri" w:cs="Calibri" w:eastAsia="Calibri" w:hAnsi="Calibri"/>
          <w:b/>
          <w:bCs/>
          <w:color w:val="0A7E79"/>
          <w:sz w:val="25"/>
          <w:szCs w:val="25"/>
        </w:rPr>
        <w:t xml:space="preserve">4.2 Structure</w:t>
      </w:r>
    </w:p>
    <w:p>
      <w:pPr>
        <w:pStyle w:val="ListParagraph"/>
        <w:numPr>
          <w:ilvl w:val="0"/>
          <w:numId w:val="2"/>
        </w:numPr>
        <w:spacing w:after="120" w:line="290"/>
      </w:pPr>
      <w:r>
        <w:rPr>
          <w:rFonts w:ascii="Calibri" w:cs="Calibri" w:eastAsia="Calibri" w:hAnsi="Calibri"/>
          <w:color w:val="1E2A38"/>
          <w:sz w:val="22"/>
          <w:szCs w:val="22"/>
        </w:rPr>
        <w:t xml:space="preserve">packages/&lt;name&gt;/ — one folder per package, each with its own package.json, src/, test/.</w:t>
      </w:r>
    </w:p>
    <w:p>
      <w:pPr>
        <w:pStyle w:val="ListParagraph"/>
        <w:numPr>
          <w:ilvl w:val="0"/>
          <w:numId w:val="2"/>
        </w:numPr>
        <w:spacing w:after="120" w:line="290"/>
      </w:pPr>
      <w:r>
        <w:rPr>
          <w:rFonts w:ascii="Calibri" w:cs="Calibri" w:eastAsia="Calibri" w:hAnsi="Calibri"/>
          <w:color w:val="1E2A38"/>
          <w:sz w:val="22"/>
          <w:szCs w:val="22"/>
        </w:rPr>
        <w:t xml:space="preserve">Root: pnpm/npm workspace config, shared eslint/tsconfig base, a .changeset/ directory (Changesets drives versioning).</w:t>
      </w:r>
    </w:p>
    <w:p>
      <w:pPr>
        <w:pStyle w:val="ListParagraph"/>
        <w:numPr>
          <w:ilvl w:val="0"/>
          <w:numId w:val="2"/>
        </w:numPr>
        <w:spacing w:after="120" w:line="290"/>
      </w:pPr>
      <w:r>
        <w:rPr>
          <w:rFonts w:ascii="Calibri" w:cs="Calibri" w:eastAsia="Calibri" w:hAnsi="Calibri"/>
          <w:color w:val="1E2A38"/>
          <w:sz w:val="22"/>
          <w:szCs w:val="22"/>
        </w:rPr>
        <w:t xml:space="preserve">.github/workflows/ci.yml runs lint-and-test, boundaries, publish-dry-run (Changesets) and security.</w:t>
      </w:r>
    </w:p>
    <w:p>
      <w:pPr>
        <w:pStyle w:val="Heading2"/>
        <w:spacing w:after="160" w:before="260"/>
      </w:pPr>
      <w:r>
        <w:rPr>
          <w:rFonts w:ascii="Calibri" w:cs="Calibri" w:eastAsia="Calibri" w:hAnsi="Calibri"/>
          <w:b/>
          <w:bCs/>
          <w:color w:val="0A7E79"/>
          <w:sz w:val="25"/>
          <w:szCs w:val="25"/>
        </w:rPr>
        <w:t xml:space="preserve">4.3 Depends on / Never contains</w:t>
      </w:r>
    </w:p>
    <w:p>
      <w:pPr>
        <w:pStyle w:val="ListParagraph"/>
        <w:numPr>
          <w:ilvl w:val="0"/>
          <w:numId w:val="2"/>
        </w:numPr>
        <w:spacing w:after="120" w:line="290"/>
      </w:pPr>
      <w:r>
        <w:rPr>
          <w:rFonts w:ascii="Calibri" w:cs="Calibri" w:eastAsia="Calibri" w:hAnsi="Calibri"/>
          <w:color w:val="1E2A38"/>
          <w:sz w:val="22"/>
          <w:szCs w:val="22"/>
        </w:rPr>
        <w:t xml:space="preserve">Depends on: nothing internal (only third-party npm). This is the root of the graph.</w:t>
      </w:r>
    </w:p>
    <w:p>
      <w:pPr>
        <w:pStyle w:val="ListParagraph"/>
        <w:numPr>
          <w:ilvl w:val="0"/>
          <w:numId w:val="2"/>
        </w:numPr>
        <w:spacing w:after="120" w:line="290"/>
      </w:pPr>
      <w:r>
        <w:rPr>
          <w:rFonts w:ascii="Calibri" w:cs="Calibri" w:eastAsia="Calibri" w:hAnsi="Calibri"/>
          <w:color w:val="1E2A38"/>
          <w:sz w:val="22"/>
          <w:szCs w:val="22"/>
        </w:rPr>
        <w:t xml:space="preserve">Never contains: business logic, a running service, anything tenant- or app-specific, or a dependency on any other platform repo.</w:t>
      </w:r>
    </w:p>
    <w:p>
      <w:pPr>
        <w:pStyle w:val="ListParagraph"/>
        <w:numPr>
          <w:ilvl w:val="0"/>
          <w:numId w:val="2"/>
        </w:numPr>
        <w:spacing w:after="120" w:line="290"/>
      </w:pPr>
      <w:r>
        <w:rPr>
          <w:rFonts w:ascii="Calibri" w:cs="Calibri" w:eastAsia="Calibri" w:hAnsi="Calibri"/>
          <w:color w:val="1E2A38"/>
          <w:sz w:val="22"/>
          <w:szCs w:val="22"/>
        </w:rPr>
        <w:t xml:space="preserve">Versioning: independent semver per package via Changesets; a PR that changes a package must include a changeset or CI fails.</w:t>
      </w:r>
    </w:p>
    <w:p>
      <w:pPr>
        <w:pStyle w:val="ListParagraph"/>
        <w:numPr>
          <w:ilvl w:val="0"/>
          <w:numId w:val="2"/>
        </w:numPr>
        <w:spacing w:after="120" w:line="290"/>
      </w:pPr>
      <w:r>
        <w:rPr>
          <w:rFonts w:ascii="Calibri" w:cs="Calibri" w:eastAsia="Calibri" w:hAnsi="Calibri"/>
          <w:color w:val="1E2A38"/>
          <w:sz w:val="22"/>
          <w:szCs w:val="22"/>
        </w:rPr>
        <w:t xml:space="preserve">Owner: Platform / Enablement. Two approvals required.</w:t>
      </w:r>
    </w:p>
    <w:p>
      <w:pPr>
        <w:pStyle w:val="Heading1"/>
        <w:spacing w:after="200" w:before="340"/>
      </w:pPr>
      <w:r>
        <w:rPr>
          <w:rFonts w:ascii="Calibri" w:cs="Calibri" w:eastAsia="Calibri" w:hAnsi="Calibri"/>
          <w:b/>
          <w:bCs/>
          <w:color w:val="0B1F3A"/>
          <w:sz w:val="30"/>
          <w:szCs w:val="30"/>
        </w:rPr>
        <w:t xml:space="preserve">5. Repository: platform-adapters</w:t>
      </w:r>
    </w:p>
    <w:p>
      <w:pPr>
        <w:spacing w:after="160" w:line="300"/>
      </w:pPr>
      <w:r>
        <w:rPr>
          <w:rFonts w:ascii="Calibri" w:cs="Calibri" w:eastAsia="Calibri" w:hAnsi="Calibri"/>
          <w:color w:val="1E2A38"/>
          <w:sz w:val="22"/>
          <w:szCs w:val="22"/>
        </w:rPr>
        <w:t xml:space="preserve">Purpose: the network-boundary shared adapters that both applications call — the reusable regulated plumbing. One workspace, but each adapter builds, versions and deploys independently (path-filtered CI, per-adapter tags), which is how they stay 'versioned internal products' without becoming eight separate repos.</w:t>
      </w:r>
    </w:p>
    <w:p>
      <w:pPr>
        <w:pStyle w:val="Heading2"/>
        <w:spacing w:after="160" w:before="260"/>
      </w:pPr>
      <w:r>
        <w:rPr>
          <w:rFonts w:ascii="Calibri" w:cs="Calibri" w:eastAsia="Calibri" w:hAnsi="Calibri"/>
          <w:b/>
          <w:bCs/>
          <w:color w:val="0A7E79"/>
          <w:sz w:val="25"/>
          <w:szCs w:val="25"/>
        </w:rPr>
        <w:t xml:space="preserve">5.1 Adapters that live here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700"/>
        <w:gridCol w:w="4050"/>
        <w:gridCol w:w="1500"/>
        <w:gridCol w:w="3100"/>
      </w:tblGrid>
      <w:tr>
        <w:trPr>
          <w:tblHeader/>
        </w:trPr>
        <w:tc>
          <w:tcPr>
            <w:tcW w:type="dxa" w:w="7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Doc</w:t>
            </w:r>
          </w:p>
        </w:tc>
        <w:tc>
          <w:tcPr>
            <w:tcW w:type="dxa" w:w="40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Adapter</w:t>
            </w:r>
          </w:p>
        </w:tc>
        <w:tc>
          <w:tcPr>
            <w:tcW w:type="dxa" w:w="15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Impl</w:t>
            </w:r>
          </w:p>
        </w:tc>
        <w:tc>
          <w:tcPr>
            <w:tcW w:type="dxa" w:w="31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Status</w:t>
            </w:r>
          </w:p>
        </w:tc>
      </w:tr>
      <w:tr>
        <w:tc>
          <w:tcPr>
            <w:tcW w:type="dxa" w:w="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16</w:t>
            </w:r>
          </w:p>
        </w:tc>
        <w:tc>
          <w:tcPr>
            <w:tcW w:type="dxa" w:w="4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Identity / eKYC provider (NADRA, UAE Pass, Yakeen, +mock)</w:t>
            </w:r>
          </w:p>
        </w:tc>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Designed — build in walking-skeleton phase</w:t>
            </w:r>
          </w:p>
        </w:tc>
      </w:tr>
      <w:tr>
        <w:tc>
          <w:tcPr>
            <w:tcW w:type="dxa" w:w="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15</w:t>
            </w:r>
          </w:p>
        </w:tc>
        <w:tc>
          <w:tcPr>
            <w:tcW w:type="dxa" w:w="4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Screening / AML provider</w:t>
            </w:r>
          </w:p>
        </w:tc>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Designed — build in compliance-gate phase</w:t>
            </w:r>
          </w:p>
        </w:tc>
      </w:tr>
      <w:tr>
        <w:tc>
          <w:tcPr>
            <w:tcW w:type="dxa" w:w="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19</w:t>
            </w:r>
          </w:p>
        </w:tc>
        <w:tc>
          <w:tcPr>
            <w:tcW w:type="dxa" w:w="4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 rails — collect &amp; payout (Raast/Aani/sarie + x-border)</w:t>
            </w:r>
          </w:p>
        </w:tc>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Designed — build in money-movement phase</w:t>
            </w:r>
          </w:p>
        </w:tc>
      </w:tr>
      <w:tr>
        <w:tc>
          <w:tcPr>
            <w:tcW w:type="dxa" w:w="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21</w:t>
            </w:r>
          </w:p>
        </w:tc>
        <w:tc>
          <w:tcPr>
            <w:tcW w:type="dxa" w:w="4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Notification / messaging (SMS/email/push)</w:t>
            </w:r>
          </w:p>
        </w:tc>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Designed</w:t>
            </w:r>
          </w:p>
        </w:tc>
      </w:tr>
      <w:tr>
        <w:tc>
          <w:tcPr>
            <w:tcW w:type="dxa" w:w="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18</w:t>
            </w:r>
          </w:p>
        </w:tc>
        <w:tc>
          <w:tcPr>
            <w:tcW w:type="dxa" w:w="4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Core-banking host (for tenants keeping their core)</w:t>
            </w:r>
          </w:p>
        </w:tc>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Designed — build only when a tenant needs it</w:t>
            </w:r>
          </w:p>
        </w:tc>
      </w:tr>
      <w:tr>
        <w:tc>
          <w:tcPr>
            <w:tcW w:type="dxa" w:w="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20</w:t>
            </w:r>
          </w:p>
        </w:tc>
        <w:tc>
          <w:tcPr>
            <w:tcW w:type="dxa" w:w="4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Card-issuing processor</w:t>
            </w:r>
          </w:p>
        </w:tc>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Designed — optional capability</w:t>
            </w:r>
          </w:p>
        </w:tc>
      </w:tr>
      <w:tr>
        <w:tc>
          <w:tcPr>
            <w:tcW w:type="dxa" w:w="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24</w:t>
            </w:r>
          </w:p>
        </w:tc>
        <w:tc>
          <w:tcPr>
            <w:tcW w:type="dxa" w:w="4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Credit / Risk bureau (eCIB/AECB/SIMAH)</w:t>
            </w:r>
          </w:p>
        </w:tc>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New — Phase B; consent-gated via Doc 26</w:t>
            </w:r>
          </w:p>
        </w:tc>
      </w:tr>
      <w:tr>
        <w:tc>
          <w:tcPr>
            <w:tcW w:type="dxa" w:w="7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25</w:t>
            </w:r>
          </w:p>
        </w:tc>
        <w:tc>
          <w:tcPr>
            <w:tcW w:type="dxa" w:w="4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Country tax computation (FBR/FTA/ZATCA)</w:t>
            </w:r>
          </w:p>
        </w:tc>
        <w:tc>
          <w:tcPr>
            <w:tcW w:type="dxa" w:w="1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(pure rules)</w:t>
            </w:r>
          </w:p>
        </w:tc>
        <w:tc>
          <w:tcPr>
            <w:tcW w:type="dxa" w:w="31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New — Phase B; Pricing consumes it</w:t>
            </w:r>
          </w:p>
        </w:tc>
      </w:tr>
      <w:tr>
        <w:tc>
          <w:tcPr>
            <w:tcW w:type="dxa" w:w="7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26</w:t>
            </w:r>
          </w:p>
        </w:tc>
        <w:tc>
          <w:tcPr>
            <w:tcW w:type="dxa" w:w="4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E-signature / consent (UAE Pass/Nafath/ETO-2002)</w:t>
            </w:r>
          </w:p>
        </w:tc>
        <w:tc>
          <w:tcPr>
            <w:tcW w:type="dxa" w:w="1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TS (NestJS)</w:t>
            </w:r>
          </w:p>
        </w:tc>
        <w:tc>
          <w:tcPr>
            <w:tcW w:type="dxa" w:w="31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New — Phase B; build before 24</w:t>
            </w:r>
          </w:p>
        </w:tc>
      </w:tr>
    </w:tbl>
    <w:p>
      <w:pPr>
        <w:spacing w:after="160" w:line="300"/>
      </w:pPr>
      <w:r>
        <w:rPr>
          <w:rFonts w:ascii="Calibri" w:cs="Calibri" w:eastAsia="Calibri" w:hAnsi="Calibri"/>
          <w:color w:val="1E2A38"/>
          <w:sz w:val="22"/>
          <w:szCs w:val="22"/>
        </w:rPr>
        <w:t xml:space="preserve">Not here, despite being 'adapters': FX (17, Java library → banking-app), OIDC (22, library → platform-packages), Persistence (14, split between platform-packages and banking-app). See §3's callout.</w:t>
      </w:r>
    </w:p>
    <w:p>
      <w:pPr>
        <w:pStyle w:val="Heading2"/>
        <w:spacing w:after="160" w:before="260"/>
      </w:pPr>
      <w:r>
        <w:rPr>
          <w:rFonts w:ascii="Calibri" w:cs="Calibri" w:eastAsia="Calibri" w:hAnsi="Calibri"/>
          <w:b/>
          <w:bCs/>
          <w:color w:val="0A7E79"/>
          <w:sz w:val="25"/>
          <w:szCs w:val="25"/>
        </w:rPr>
        <w:t xml:space="preserve">5.2 Structure and rules</w:t>
      </w:r>
    </w:p>
    <w:p>
      <w:pPr>
        <w:pStyle w:val="ListParagraph"/>
        <w:numPr>
          <w:ilvl w:val="0"/>
          <w:numId w:val="2"/>
        </w:numPr>
        <w:spacing w:after="120" w:line="290"/>
      </w:pPr>
      <w:r>
        <w:rPr>
          <w:rFonts w:ascii="Calibri" w:cs="Calibri" w:eastAsia="Calibri" w:hAnsi="Calibri"/>
          <w:color w:val="1E2A38"/>
          <w:sz w:val="22"/>
          <w:szCs w:val="22"/>
        </w:rPr>
        <w:t xml:space="preserve">apps/&lt;adapter-name&gt;/ — each a self-contained hexagonal service (domain/ports/adapters/config), its own Dockerfile, Helm chart, and /contracts (the provider side of the Pact).</w:t>
      </w:r>
    </w:p>
    <w:p>
      <w:pPr>
        <w:pStyle w:val="ListParagraph"/>
        <w:numPr>
          <w:ilvl w:val="0"/>
          <w:numId w:val="2"/>
        </w:numPr>
        <w:spacing w:after="120" w:line="290"/>
      </w:pPr>
      <w:r>
        <w:rPr>
          <w:rFonts w:ascii="Calibri" w:cs="Calibri" w:eastAsia="Calibri" w:hAnsi="Calibri"/>
          <w:color w:val="1E2A38"/>
          <w:sz w:val="22"/>
          <w:szCs w:val="22"/>
        </w:rPr>
        <w:t xml:space="preserve">packs/&lt;country&gt;/ — the versioned rule/config packs the tax and screening adapters read (effective-dated, maker-checker via CODEOWNERS).</w:t>
      </w:r>
    </w:p>
    <w:p>
      <w:pPr>
        <w:pStyle w:val="ListParagraph"/>
        <w:numPr>
          <w:ilvl w:val="0"/>
          <w:numId w:val="2"/>
        </w:numPr>
        <w:spacing w:after="120" w:line="290"/>
      </w:pPr>
      <w:r>
        <w:rPr>
          <w:rFonts w:ascii="Calibri" w:cs="Calibri" w:eastAsia="Calibri" w:hAnsi="Calibri"/>
          <w:color w:val="1E2A38"/>
          <w:sz w:val="22"/>
          <w:szCs w:val="22"/>
        </w:rPr>
        <w:t xml:space="preserve">CI is path-filtered: touching apps/tax only builds/tests/releases the tax adapter (tag adapter-tax-v1.2.0).</w:t>
      </w:r>
    </w:p>
    <w:p>
      <w:pPr>
        <w:pStyle w:val="ListParagraph"/>
        <w:numPr>
          <w:ilvl w:val="0"/>
          <w:numId w:val="2"/>
        </w:numPr>
        <w:spacing w:after="120" w:line="290"/>
      </w:pPr>
      <w:r>
        <w:rPr>
          <w:rFonts w:ascii="Calibri" w:cs="Calibri" w:eastAsia="Calibri" w:hAnsi="Calibri"/>
          <w:color w:val="1E2A38"/>
          <w:sz w:val="22"/>
          <w:szCs w:val="22"/>
        </w:rPr>
        <w:t xml:space="preserve">The contracts check runs Pact provider verification against BOTH banking-app and takaful-app pacts — a change breaking either consumer cannot merge (Doc 27 §9).</w:t>
      </w:r>
    </w:p>
    <w:p>
      <w:pPr>
        <w:pStyle w:val="ListParagraph"/>
        <w:numPr>
          <w:ilvl w:val="0"/>
          <w:numId w:val="2"/>
        </w:numPr>
        <w:spacing w:after="120" w:line="290"/>
      </w:pPr>
      <w:r>
        <w:rPr>
          <w:rFonts w:ascii="Calibri" w:cs="Calibri" w:eastAsia="Calibri" w:hAnsi="Calibri"/>
          <w:color w:val="1E2A38"/>
          <w:sz w:val="22"/>
          <w:szCs w:val="22"/>
        </w:rPr>
        <w:t xml:space="preserve">Every adapter call carries tenant_id AND app_id; per-app quotas live in packs and change by PR.</w:t>
      </w:r>
    </w:p>
    <w:p>
      <w:pPr>
        <w:pStyle w:val="ListParagraph"/>
        <w:numPr>
          <w:ilvl w:val="0"/>
          <w:numId w:val="2"/>
        </w:numPr>
        <w:spacing w:after="120" w:line="290"/>
      </w:pPr>
      <w:r>
        <w:rPr>
          <w:rFonts w:ascii="Calibri" w:cs="Calibri" w:eastAsia="Calibri" w:hAnsi="Calibri"/>
          <w:color w:val="1E2A38"/>
          <w:sz w:val="22"/>
          <w:szCs w:val="22"/>
        </w:rPr>
        <w:t xml:space="preserve">Depends on: platform-packages only. Never contains: app-specific business logic, or any dependency on banking-app / takaful-app (that would be a cycle).</w:t>
      </w:r>
    </w:p>
    <w:p>
      <w:pPr>
        <w:pStyle w:val="ListParagraph"/>
        <w:numPr>
          <w:ilvl w:val="0"/>
          <w:numId w:val="2"/>
        </w:numPr>
        <w:spacing w:after="120" w:line="290"/>
      </w:pPr>
      <w:r>
        <w:rPr>
          <w:rFonts w:ascii="Calibri" w:cs="Calibri" w:eastAsia="Calibri" w:hAnsi="Calibri"/>
          <w:color w:val="1E2A38"/>
          <w:sz w:val="22"/>
          <w:szCs w:val="22"/>
        </w:rPr>
        <w:t xml:space="preserve">Owner: Platform Adapters squad (CODEOWNERS on the whole repo). Two approvals. App squads contribute via RFC + inner-source PRs.</w:t>
      </w:r>
    </w:p>
    <w:p>
      <w:pPr>
        <w:pStyle w:val="Heading1"/>
        <w:spacing w:after="200" w:before="340"/>
      </w:pPr>
      <w:r>
        <w:rPr>
          <w:rFonts w:ascii="Calibri" w:cs="Calibri" w:eastAsia="Calibri" w:hAnsi="Calibri"/>
          <w:b/>
          <w:bCs/>
          <w:color w:val="0B1F3A"/>
          <w:sz w:val="30"/>
          <w:szCs w:val="30"/>
        </w:rPr>
        <w:t xml:space="preserve">6. Repository: banking-app</w:t>
      </w:r>
    </w:p>
    <w:p>
      <w:pPr>
        <w:spacing w:after="160" w:line="300"/>
      </w:pPr>
      <w:r>
        <w:rPr>
          <w:rFonts w:ascii="Calibri" w:cs="Calibri" w:eastAsia="Calibri" w:hAnsi="Calibri"/>
          <w:color w:val="1E2A38"/>
          <w:sz w:val="22"/>
          <w:szCs w:val="22"/>
        </w:rPr>
        <w:t xml:space="preserve">Purpose: the Digital Banking &amp; Remittance application — the banking-only domain services. This is the polyglot repository: most services are NestJS/TypeScript, but Ledger and Pricing are Java/Spring Boot, and the FX library is Java. The document is explicit about how one repo holds both toolchains cleanly.</w:t>
      </w:r>
    </w:p>
    <w:p>
      <w:pPr>
        <w:pStyle w:val="Heading2"/>
        <w:spacing w:after="160" w:before="260"/>
      </w:pPr>
      <w:r>
        <w:rPr>
          <w:rFonts w:ascii="Calibri" w:cs="Calibri" w:eastAsia="Calibri" w:hAnsi="Calibri"/>
          <w:b/>
          <w:bCs/>
          <w:color w:val="0A7E79"/>
          <w:sz w:val="25"/>
          <w:szCs w:val="25"/>
        </w:rPr>
        <w:t xml:space="preserve">6.1 What lives here</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2650"/>
        <w:gridCol w:w="2350"/>
        <w:gridCol w:w="4350"/>
      </w:tblGrid>
      <w:tr>
        <w:trPr>
          <w:tblHeader/>
        </w:trPr>
        <w:tc>
          <w:tcPr>
            <w:tcW w:type="dxa" w:w="26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Component</w:t>
            </w:r>
          </w:p>
        </w:tc>
        <w:tc>
          <w:tcPr>
            <w:tcW w:type="dxa" w:w="23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Runtime</w:t>
            </w:r>
          </w:p>
        </w:tc>
        <w:tc>
          <w:tcPr>
            <w:tcW w:type="dxa" w:w="43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Notes</w:t>
            </w:r>
          </w:p>
        </w:tc>
      </w:tr>
      <w:tr>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Ledger (04)</w:t>
            </w:r>
          </w:p>
        </w:tc>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Java 21 / Spring Boot / Gradle</w:t>
            </w:r>
          </w:p>
        </w:tc>
        <w:tc>
          <w:tcPr>
            <w:tcW w:type="dxa" w:w="4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System of record for value; append-only; the calculation core</w:t>
            </w:r>
          </w:p>
        </w:tc>
      </w:tr>
      <w:tr>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Pricing, Billing &amp; Metering (10)</w:t>
            </w:r>
          </w:p>
        </w:tc>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Java 21 / Spring Boot / Gradle</w:t>
            </w:r>
          </w:p>
        </w:tc>
        <w:tc>
          <w:tcPr>
            <w:tcW w:type="dxa" w:w="4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Deterministic quotes; consumes the FX library in-process</w:t>
            </w:r>
          </w:p>
        </w:tc>
      </w:tr>
      <w:tr>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FX rate library (17)</w:t>
            </w:r>
          </w:p>
        </w:tc>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Java library (Gradle module)</w:t>
            </w:r>
          </w:p>
        </w:tc>
        <w:tc>
          <w:tcPr>
            <w:tcW w:type="dxa" w:w="4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In-process dependency of Ledger &amp; Pricing — not a deployable service</w:t>
            </w:r>
          </w:p>
        </w:tc>
      </w:tr>
      <w:tr>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Payments &amp; Remittance (05)</w:t>
            </w:r>
          </w:p>
        </w:tc>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NestJS / TS</w:t>
            </w:r>
          </w:p>
        </w:tc>
        <w:tc>
          <w:tcPr>
            <w:tcW w:type="dxa" w:w="4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send-money saga</w:t>
            </w:r>
          </w:p>
        </w:tc>
      </w:tr>
      <w:tr>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Wallets &amp; Accounts (06)</w:t>
            </w:r>
          </w:p>
        </w:tc>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NestJS / TS</w:t>
            </w:r>
          </w:p>
        </w:tc>
        <w:tc>
          <w:tcPr>
            <w:tcW w:type="dxa" w:w="4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Customer accounts; balances composed from Ledger</w:t>
            </w:r>
          </w:p>
        </w:tc>
      </w:tr>
      <w:tr>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Card Issuing (07)</w:t>
            </w:r>
          </w:p>
        </w:tc>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NestJS / TS (Fastify auth path)</w:t>
            </w:r>
          </w:p>
        </w:tc>
        <w:tc>
          <w:tcPr>
            <w:tcW w:type="dxa" w:w="4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Optional capability</w:t>
            </w:r>
          </w:p>
        </w:tc>
      </w:tr>
      <w:tr>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Reconciliation (09)</w:t>
            </w:r>
          </w:p>
        </w:tc>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NestJS / TS</w:t>
            </w:r>
          </w:p>
        </w:tc>
        <w:tc>
          <w:tcPr>
            <w:tcW w:type="dxa" w:w="4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Three-way match against rail statements</w:t>
            </w:r>
          </w:p>
        </w:tc>
      </w:tr>
      <w:tr>
        <w:tc>
          <w:tcPr>
            <w:tcW w:type="dxa" w:w="26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Banking BFFs (from 11)</w:t>
            </w:r>
          </w:p>
        </w:tc>
        <w:tc>
          <w:tcPr>
            <w:tcW w:type="dxa" w:w="2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NestJS / TS</w:t>
            </w:r>
          </w:p>
        </w:tc>
        <w:tc>
          <w:tcPr>
            <w:tcW w:type="dxa" w:w="43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Mobile/web/partner backends-for-frontends for banking</w:t>
            </w:r>
          </w:p>
        </w:tc>
      </w:tr>
      <w:tr>
        <w:tc>
          <w:tcPr>
            <w:tcW w:type="dxa" w:w="26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Persistence — Java twin (14)</w:t>
            </w:r>
          </w:p>
        </w:tc>
        <w:tc>
          <w:tcPr>
            <w:tcW w:type="dxa" w:w="2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Java library (Gradle module)</w:t>
            </w:r>
          </w:p>
        </w:tc>
        <w:tc>
          <w:tcPr>
            <w:tcW w:type="dxa" w:w="43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Consumed by Ledger &amp; Pricing; parity-tested with @platform/persistence-ts</w:t>
            </w:r>
          </w:p>
        </w:tc>
      </w:tr>
    </w:tbl>
    <w:p>
      <w:pPr>
        <w:pStyle w:val="Heading2"/>
        <w:spacing w:after="160" w:before="260"/>
      </w:pPr>
      <w:r>
        <w:rPr>
          <w:rFonts w:ascii="Calibri" w:cs="Calibri" w:eastAsia="Calibri" w:hAnsi="Calibri"/>
          <w:b/>
          <w:bCs/>
          <w:color w:val="0A7E79"/>
          <w:sz w:val="25"/>
          <w:szCs w:val="25"/>
        </w:rPr>
        <w:t xml:space="preserve">6.2 Structure (polyglot workspace)</w:t>
      </w:r>
    </w:p>
    <w:p>
      <w:pPr>
        <w:pStyle w:val="ListParagraph"/>
        <w:numPr>
          <w:ilvl w:val="0"/>
          <w:numId w:val="2"/>
        </w:numPr>
        <w:spacing w:after="120" w:line="290"/>
      </w:pPr>
      <w:r>
        <w:rPr>
          <w:rFonts w:ascii="Calibri" w:cs="Calibri" w:eastAsia="Calibri" w:hAnsi="Calibri"/>
          <w:color w:val="1E2A38"/>
          <w:sz w:val="22"/>
          <w:szCs w:val="22"/>
        </w:rPr>
        <w:t xml:space="preserve">apps/&lt;service&gt;/ for the TS services (NestJS golden path each), managed by the npm workspace at the root.</w:t>
      </w:r>
    </w:p>
    <w:p>
      <w:pPr>
        <w:pStyle w:val="ListParagraph"/>
        <w:numPr>
          <w:ilvl w:val="0"/>
          <w:numId w:val="2"/>
        </w:numPr>
        <w:spacing w:after="120" w:line="290"/>
      </w:pPr>
      <w:r>
        <w:rPr>
          <w:rFonts w:ascii="Calibri" w:cs="Calibri" w:eastAsia="Calibri" w:hAnsi="Calibri"/>
          <w:color w:val="1E2A38"/>
          <w:sz w:val="22"/>
          <w:szCs w:val="22"/>
        </w:rPr>
        <w:t xml:space="preserve">jvm/&lt;service&gt;/ for ledger and pricing, plus jvm/libs/fx and jvm/libs/persistence — a Gradle multi-project build at jvm/.</w:t>
      </w:r>
    </w:p>
    <w:p>
      <w:pPr>
        <w:pStyle w:val="ListParagraph"/>
        <w:numPr>
          <w:ilvl w:val="0"/>
          <w:numId w:val="2"/>
        </w:numPr>
        <w:spacing w:after="120" w:line="290"/>
      </w:pPr>
      <w:r>
        <w:rPr>
          <w:rFonts w:ascii="Calibri" w:cs="Calibri" w:eastAsia="Calibri" w:hAnsi="Calibri"/>
          <w:color w:val="1E2A38"/>
          <w:sz w:val="22"/>
          <w:szCs w:val="22"/>
        </w:rPr>
        <w:t xml:space="preserve">CI has two lanes selected by path: a Node lane (ESLint+money rule, tsc, dependency-cruiser, Testcontainers) and a JVM lane (Gradle test, jqwik property suite, ArchUnit). Both must be green; both publish signed images.</w:t>
      </w:r>
    </w:p>
    <w:p>
      <w:pPr>
        <w:pStyle w:val="ListParagraph"/>
        <w:numPr>
          <w:ilvl w:val="0"/>
          <w:numId w:val="2"/>
        </w:numPr>
        <w:spacing w:after="120" w:line="290"/>
      </w:pPr>
      <w:r>
        <w:rPr>
          <w:rFonts w:ascii="Calibri" w:cs="Calibri" w:eastAsia="Calibri" w:hAnsi="Calibri"/>
          <w:color w:val="1E2A38"/>
          <w:sz w:val="22"/>
          <w:szCs w:val="22"/>
        </w:rPr>
        <w:t xml:space="preserve">Each service keeps its own /contracts; banking-app is a Pact CONSUMER of platform-adapters and a Pact PROVIDER to its own BFFs.</w:t>
      </w:r>
    </w:p>
    <w:p>
      <w:pPr>
        <w:pStyle w:val="Heading2"/>
        <w:spacing w:after="160" w:before="260"/>
      </w:pPr>
      <w:r>
        <w:rPr>
          <w:rFonts w:ascii="Calibri" w:cs="Calibri" w:eastAsia="Calibri" w:hAnsi="Calibri"/>
          <w:b/>
          <w:bCs/>
          <w:color w:val="0A7E79"/>
          <w:sz w:val="25"/>
          <w:szCs w:val="25"/>
        </w:rPr>
        <w:t xml:space="preserve">6.3 Depends on / Never contains</w:t>
      </w:r>
    </w:p>
    <w:p>
      <w:pPr>
        <w:pStyle w:val="ListParagraph"/>
        <w:numPr>
          <w:ilvl w:val="0"/>
          <w:numId w:val="2"/>
        </w:numPr>
        <w:spacing w:after="120" w:line="290"/>
      </w:pPr>
      <w:r>
        <w:rPr>
          <w:rFonts w:ascii="Calibri" w:cs="Calibri" w:eastAsia="Calibri" w:hAnsi="Calibri"/>
          <w:color w:val="1E2A38"/>
          <w:sz w:val="22"/>
          <w:szCs w:val="22"/>
        </w:rPr>
        <w:t xml:space="preserve">Depends on: platform-packages (TS + the money discipline), platform-adapters (runtime, via contracts). </w:t>
      </w:r>
    </w:p>
    <w:p>
      <w:pPr>
        <w:pStyle w:val="ListParagraph"/>
        <w:numPr>
          <w:ilvl w:val="0"/>
          <w:numId w:val="2"/>
        </w:numPr>
        <w:spacing w:after="120" w:line="290"/>
      </w:pPr>
      <w:r>
        <w:rPr>
          <w:rFonts w:ascii="Calibri" w:cs="Calibri" w:eastAsia="Calibri" w:hAnsi="Calibri"/>
          <w:color w:val="1E2A38"/>
          <w:sz w:val="22"/>
          <w:szCs w:val="22"/>
        </w:rPr>
        <w:t xml:space="preserve">Never contains: takaful domain logic, shared-adapter implementations (those are in platform-adapters), or infrastructure Terraform (that is platform-infra).</w:t>
      </w:r>
    </w:p>
    <w:p>
      <w:pPr>
        <w:pStyle w:val="ListParagraph"/>
        <w:numPr>
          <w:ilvl w:val="0"/>
          <w:numId w:val="2"/>
        </w:numPr>
        <w:spacing w:after="120" w:line="290"/>
      </w:pPr>
      <w:r>
        <w:rPr>
          <w:rFonts w:ascii="Calibri" w:cs="Calibri" w:eastAsia="Calibri" w:hAnsi="Calibri"/>
          <w:color w:val="1E2A38"/>
          <w:sz w:val="22"/>
          <w:szCs w:val="22"/>
        </w:rPr>
        <w:t xml:space="preserve">Versioning: app release tags banking-vX.Y.Z; individual services ship as images but move together under the app version for a coherent release.</w:t>
      </w:r>
    </w:p>
    <w:p>
      <w:pPr>
        <w:pStyle w:val="ListParagraph"/>
        <w:numPr>
          <w:ilvl w:val="0"/>
          <w:numId w:val="2"/>
        </w:numPr>
        <w:spacing w:after="120" w:line="290"/>
      </w:pPr>
      <w:r>
        <w:rPr>
          <w:rFonts w:ascii="Calibri" w:cs="Calibri" w:eastAsia="Calibri" w:hAnsi="Calibri"/>
          <w:color w:val="1E2A38"/>
          <w:sz w:val="22"/>
          <w:szCs w:val="22"/>
        </w:rPr>
        <w:t xml:space="preserve">Owner: the banking squads (Ledger &amp; Money Movement, Payments &amp; Remittance, Accounts &amp; Cards, Pricing &amp; Billing) via per-path CODEOWNERS. One approval.</w:t>
      </w:r>
    </w:p>
    <w:p>
      <w:pPr>
        <w:pStyle w:val="Heading1"/>
        <w:spacing w:after="200" w:before="340"/>
      </w:pPr>
      <w:r>
        <w:rPr>
          <w:rFonts w:ascii="Calibri" w:cs="Calibri" w:eastAsia="Calibri" w:hAnsi="Calibri"/>
          <w:b/>
          <w:bCs/>
          <w:color w:val="0B1F3A"/>
          <w:sz w:val="30"/>
          <w:szCs w:val="30"/>
        </w:rPr>
        <w:t xml:space="preserve">7. Repository: takaful-app</w:t>
      </w:r>
    </w:p>
    <w:p>
      <w:pPr>
        <w:spacing w:after="160" w:line="300"/>
      </w:pPr>
      <w:r>
        <w:rPr>
          <w:rFonts w:ascii="Calibri" w:cs="Calibri" w:eastAsia="Calibri" w:hAnsi="Calibri"/>
          <w:color w:val="1E2A38"/>
          <w:sz w:val="22"/>
          <w:szCs w:val="22"/>
        </w:rPr>
        <w:t xml:space="preserve">Purpose: the Takaful (Islamic insurance) application — the insurance-only domain. It reuses the same eight shared adapters as banking; only genuinely insurance-specific logic lives here. Nothing is built yet; this repo is created when Phase C (the Takaful pilot) begins.</w:t>
      </w:r>
    </w:p>
    <w:p>
      <w:pPr>
        <w:pStyle w:val="Heading2"/>
        <w:spacing w:after="160" w:before="260"/>
      </w:pPr>
      <w:r>
        <w:rPr>
          <w:rFonts w:ascii="Calibri" w:cs="Calibri" w:eastAsia="Calibri" w:hAnsi="Calibri"/>
          <w:b/>
          <w:bCs/>
          <w:color w:val="0A7E79"/>
          <w:sz w:val="25"/>
          <w:szCs w:val="25"/>
        </w:rPr>
        <w:t xml:space="preserve">7.1 What lives here</w:t>
      </w:r>
    </w:p>
    <w:p>
      <w:pPr>
        <w:pStyle w:val="ListParagraph"/>
        <w:numPr>
          <w:ilvl w:val="0"/>
          <w:numId w:val="2"/>
        </w:numPr>
        <w:spacing w:after="120" w:line="290"/>
      </w:pPr>
      <w:r>
        <w:rPr>
          <w:rFonts w:ascii="Calibri" w:cs="Calibri" w:eastAsia="Calibri" w:hAnsi="Calibri"/>
          <w:color w:val="1E2A38"/>
          <w:sz w:val="22"/>
          <w:szCs w:val="22"/>
        </w:rPr>
        <w:t xml:space="preserve">Policy Administration — products, policies, contribution schedules (NestJS/TS).</w:t>
      </w:r>
    </w:p>
    <w:p>
      <w:pPr>
        <w:pStyle w:val="ListParagraph"/>
        <w:numPr>
          <w:ilvl w:val="0"/>
          <w:numId w:val="2"/>
        </w:numPr>
        <w:spacing w:after="120" w:line="290"/>
      </w:pPr>
      <w:r>
        <w:rPr>
          <w:rFonts w:ascii="Calibri" w:cs="Calibri" w:eastAsia="Calibri" w:hAnsi="Calibri"/>
          <w:color w:val="1E2A38"/>
          <w:sz w:val="22"/>
          <w:szCs w:val="22"/>
        </w:rPr>
        <w:t xml:space="preserve">Underwriting — risk assessment (consumes the Bureau adapter, Doc 24) (NestJS/TS).</w:t>
      </w:r>
    </w:p>
    <w:p>
      <w:pPr>
        <w:pStyle w:val="ListParagraph"/>
        <w:numPr>
          <w:ilvl w:val="0"/>
          <w:numId w:val="2"/>
        </w:numPr>
        <w:spacing w:after="120" w:line="290"/>
      </w:pPr>
      <w:r>
        <w:rPr>
          <w:rFonts w:ascii="Calibri" w:cs="Calibri" w:eastAsia="Calibri" w:hAnsi="Calibri"/>
          <w:color w:val="1E2A38"/>
          <w:sz w:val="22"/>
          <w:szCs w:val="22"/>
        </w:rPr>
        <w:t xml:space="preserve">Claims — intake, assessment, payout orchestration (NestJS/TS).</w:t>
      </w:r>
    </w:p>
    <w:p>
      <w:pPr>
        <w:pStyle w:val="ListParagraph"/>
        <w:numPr>
          <w:ilvl w:val="0"/>
          <w:numId w:val="2"/>
        </w:numPr>
        <w:spacing w:after="120" w:line="290"/>
      </w:pPr>
      <w:r>
        <w:rPr>
          <w:rFonts w:ascii="Calibri" w:cs="Calibri" w:eastAsia="Calibri" w:hAnsi="Calibri"/>
          <w:color w:val="1E2A38"/>
          <w:sz w:val="22"/>
          <w:szCs w:val="22"/>
        </w:rPr>
        <w:t xml:space="preserve">Participant pool accounting — the tabarru' pool and wakala-fee model (NestJS/TS; money via @platform/money).</w:t>
      </w:r>
    </w:p>
    <w:p>
      <w:pPr>
        <w:pStyle w:val="ListParagraph"/>
        <w:numPr>
          <w:ilvl w:val="0"/>
          <w:numId w:val="2"/>
        </w:numPr>
        <w:spacing w:after="120" w:line="290"/>
      </w:pPr>
      <w:r>
        <w:rPr>
          <w:rFonts w:ascii="Calibri" w:cs="Calibri" w:eastAsia="Calibri" w:hAnsi="Calibri"/>
          <w:color w:val="1E2A38"/>
          <w:sz w:val="22"/>
          <w:szCs w:val="22"/>
        </w:rPr>
        <w:t xml:space="preserve">Takaful BFF — backend-for-frontend for the takaful channels.</w:t>
      </w:r>
    </w:p>
    <w:p>
      <w:pPr>
        <w:pStyle w:val="Heading2"/>
        <w:spacing w:after="160" w:before="260"/>
      </w:pPr>
      <w:r>
        <w:rPr>
          <w:rFonts w:ascii="Calibri" w:cs="Calibri" w:eastAsia="Calibri" w:hAnsi="Calibri"/>
          <w:b/>
          <w:bCs/>
          <w:color w:val="0A7E79"/>
          <w:sz w:val="25"/>
          <w:szCs w:val="25"/>
        </w:rPr>
        <w:t xml:space="preserve">7.2 Structure / depends on / never contains</w:t>
      </w:r>
    </w:p>
    <w:p>
      <w:pPr>
        <w:pStyle w:val="ListParagraph"/>
        <w:numPr>
          <w:ilvl w:val="0"/>
          <w:numId w:val="2"/>
        </w:numPr>
        <w:spacing w:after="120" w:line="290"/>
      </w:pPr>
      <w:r>
        <w:rPr>
          <w:rFonts w:ascii="Calibri" w:cs="Calibri" w:eastAsia="Calibri" w:hAnsi="Calibri"/>
          <w:color w:val="1E2A38"/>
          <w:sz w:val="22"/>
          <w:szCs w:val="22"/>
        </w:rPr>
        <w:t xml:space="preserve">Structure mirrors banking-app's TS side (apps/&lt;service&gt;, npm workspace); no JVM lane unless a calculation core emerges (revisit against the v3.1 rule).</w:t>
      </w:r>
    </w:p>
    <w:p>
      <w:pPr>
        <w:pStyle w:val="ListParagraph"/>
        <w:numPr>
          <w:ilvl w:val="0"/>
          <w:numId w:val="2"/>
        </w:numPr>
        <w:spacing w:after="120" w:line="290"/>
      </w:pPr>
      <w:r>
        <w:rPr>
          <w:rFonts w:ascii="Calibri" w:cs="Calibri" w:eastAsia="Calibri" w:hAnsi="Calibri"/>
          <w:color w:val="1E2A38"/>
          <w:sz w:val="22"/>
          <w:szCs w:val="22"/>
        </w:rPr>
        <w:t xml:space="preserve">Depends on: platform-packages and platform-adapters — identical to banking-app. It is the SECOND Pact consumer of every shared adapter.</w:t>
      </w:r>
    </w:p>
    <w:p>
      <w:pPr>
        <w:pStyle w:val="ListParagraph"/>
        <w:numPr>
          <w:ilvl w:val="0"/>
          <w:numId w:val="2"/>
        </w:numPr>
        <w:spacing w:after="120" w:line="290"/>
      </w:pPr>
      <w:r>
        <w:rPr>
          <w:rFonts w:ascii="Calibri" w:cs="Calibri" w:eastAsia="Calibri" w:hAnsi="Calibri"/>
          <w:color w:val="1E2A38"/>
          <w:sz w:val="22"/>
          <w:szCs w:val="22"/>
        </w:rPr>
        <w:t xml:space="preserve">Never contains: banking domain logic, copies of shared adapters, or its own fork of anything in platform-packages.</w:t>
      </w:r>
    </w:p>
    <w:p>
      <w:pPr>
        <w:pStyle w:val="ListParagraph"/>
        <w:numPr>
          <w:ilvl w:val="0"/>
          <w:numId w:val="2"/>
        </w:numPr>
        <w:spacing w:after="120" w:line="290"/>
      </w:pPr>
      <w:r>
        <w:rPr>
          <w:rFonts w:ascii="Calibri" w:cs="Calibri" w:eastAsia="Calibri" w:hAnsi="Calibri"/>
          <w:color w:val="1E2A38"/>
          <w:sz w:val="22"/>
          <w:szCs w:val="22"/>
        </w:rPr>
        <w:t xml:space="preserve">Versioning: takaful-vX.Y.Z. Owner: the Takaful squads. One approval.</w:t>
      </w:r>
    </w:p>
    <w:p>
      <w:pPr>
        <w:pStyle w:val="Heading1"/>
        <w:spacing w:after="200" w:before="340"/>
      </w:pPr>
      <w:r>
        <w:rPr>
          <w:rFonts w:ascii="Calibri" w:cs="Calibri" w:eastAsia="Calibri" w:hAnsi="Calibri"/>
          <w:b/>
          <w:bCs/>
          <w:color w:val="0B1F3A"/>
          <w:sz w:val="30"/>
          <w:szCs w:val="30"/>
        </w:rPr>
        <w:t xml:space="preserve">8. Repository: platform-infra</w:t>
      </w:r>
    </w:p>
    <w:p>
      <w:pPr>
        <w:spacing w:after="160" w:line="300"/>
      </w:pPr>
      <w:r>
        <w:rPr>
          <w:rFonts w:ascii="Calibri" w:cs="Calibri" w:eastAsia="Calibri" w:hAnsi="Calibri"/>
          <w:color w:val="1E2A38"/>
          <w:sz w:val="22"/>
          <w:szCs w:val="22"/>
        </w:rPr>
        <w:t xml:space="preserve">Purpose: how the platform is provisioned and deployed. Terraform modules describe the clusters, databases, Kafka, registries and networking per region; the GitOps overlays describe what image runs where. Deployment is a pull request here, and the git history is the deployment audit trail.</w:t>
      </w:r>
    </w:p>
    <w:p>
      <w:pPr>
        <w:pStyle w:val="Heading2"/>
        <w:spacing w:after="160" w:before="260"/>
      </w:pPr>
      <w:r>
        <w:rPr>
          <w:rFonts w:ascii="Calibri" w:cs="Calibri" w:eastAsia="Calibri" w:hAnsi="Calibri"/>
          <w:b/>
          <w:bCs/>
          <w:color w:val="0A7E79"/>
          <w:sz w:val="25"/>
          <w:szCs w:val="25"/>
        </w:rPr>
        <w:t xml:space="preserve">8.1 Structure</w:t>
      </w:r>
    </w:p>
    <w:p>
      <w:pPr>
        <w:pStyle w:val="ListParagraph"/>
        <w:numPr>
          <w:ilvl w:val="0"/>
          <w:numId w:val="2"/>
        </w:numPr>
        <w:spacing w:after="120" w:line="290"/>
      </w:pPr>
      <w:r>
        <w:rPr>
          <w:rFonts w:ascii="Calibri" w:cs="Calibri" w:eastAsia="Calibri" w:hAnsi="Calibri"/>
          <w:color w:val="1E2A38"/>
          <w:sz w:val="22"/>
          <w:szCs w:val="22"/>
        </w:rPr>
        <w:t xml:space="preserve">terraform/modules/ — reusable modules (cluster, postgres, kafka, redis, object-store, registry, vault).</w:t>
      </w:r>
    </w:p>
    <w:p>
      <w:pPr>
        <w:pStyle w:val="ListParagraph"/>
        <w:numPr>
          <w:ilvl w:val="0"/>
          <w:numId w:val="2"/>
        </w:numPr>
        <w:spacing w:after="120" w:line="290"/>
      </w:pPr>
      <w:r>
        <w:rPr>
          <w:rFonts w:ascii="Calibri" w:cs="Calibri" w:eastAsia="Calibri" w:hAnsi="Calibri"/>
          <w:color w:val="1E2A38"/>
          <w:sz w:val="22"/>
          <w:szCs w:val="22"/>
        </w:rPr>
        <w:t xml:space="preserve">terraform/envs/{develop,staging,production-pk,production-ae,production-sa}/ — one composition per environment; production-sa provisions in-Kingdom only.</w:t>
      </w:r>
    </w:p>
    <w:p>
      <w:pPr>
        <w:pStyle w:val="ListParagraph"/>
        <w:numPr>
          <w:ilvl w:val="0"/>
          <w:numId w:val="2"/>
        </w:numPr>
        <w:spacing w:after="120" w:line="290"/>
      </w:pPr>
      <w:r>
        <w:rPr>
          <w:rFonts w:ascii="Calibri" w:cs="Calibri" w:eastAsia="Calibri" w:hAnsi="Calibri"/>
          <w:color w:val="1E2A38"/>
          <w:sz w:val="22"/>
          <w:szCs w:val="22"/>
        </w:rPr>
        <w:t xml:space="preserve">gitops/{develop,staging,production-pk,production-ae,production-sa}/ — ArgoCD Applications and image-tag overlays per environment; ArgoCD watches these paths.</w:t>
      </w:r>
    </w:p>
    <w:p>
      <w:pPr>
        <w:pStyle w:val="ListParagraph"/>
        <w:numPr>
          <w:ilvl w:val="0"/>
          <w:numId w:val="2"/>
        </w:numPr>
        <w:spacing w:after="120" w:line="290"/>
      </w:pPr>
      <w:r>
        <w:rPr>
          <w:rFonts w:ascii="Calibri" w:cs="Calibri" w:eastAsia="Calibri" w:hAnsi="Calibri"/>
          <w:color w:val="1E2A38"/>
          <w:sz w:val="22"/>
          <w:szCs w:val="22"/>
        </w:rPr>
        <w:t xml:space="preserve">policy/ — tflint / OPA rules that gate terraform plans.</w:t>
      </w:r>
    </w:p>
    <w:p>
      <w:pPr>
        <w:pStyle w:val="Heading2"/>
        <w:spacing w:after="160" w:before="260"/>
      </w:pPr>
      <w:r>
        <w:rPr>
          <w:rFonts w:ascii="Calibri" w:cs="Calibri" w:eastAsia="Calibri" w:hAnsi="Calibri"/>
          <w:b/>
          <w:bCs/>
          <w:color w:val="0A7E79"/>
          <w:sz w:val="25"/>
          <w:szCs w:val="25"/>
        </w:rPr>
        <w:t xml:space="preserve">8.2 Rules</w:t>
      </w:r>
    </w:p>
    <w:p>
      <w:pPr>
        <w:pStyle w:val="ListParagraph"/>
        <w:numPr>
          <w:ilvl w:val="0"/>
          <w:numId w:val="2"/>
        </w:numPr>
        <w:spacing w:after="120" w:line="290"/>
      </w:pPr>
      <w:r>
        <w:rPr>
          <w:rFonts w:ascii="Calibri" w:cs="Calibri" w:eastAsia="Calibri" w:hAnsi="Calibri"/>
          <w:color w:val="1E2A38"/>
          <w:sz w:val="22"/>
          <w:szCs w:val="22"/>
        </w:rPr>
        <w:t xml:space="preserve">Terraform runs via GitHub Actions with cloud OIDC federation — no long-lived cloud keys stored in GitHub (Doc 27 §5.1).</w:t>
      </w:r>
    </w:p>
    <w:p>
      <w:pPr>
        <w:pStyle w:val="ListParagraph"/>
        <w:numPr>
          <w:ilvl w:val="0"/>
          <w:numId w:val="2"/>
        </w:numPr>
        <w:spacing w:after="120" w:line="290"/>
      </w:pPr>
      <w:r>
        <w:rPr>
          <w:rFonts w:ascii="Calibri" w:cs="Calibri" w:eastAsia="Calibri" w:hAnsi="Calibri"/>
          <w:color w:val="1E2A38"/>
          <w:sz w:val="22"/>
          <w:szCs w:val="22"/>
        </w:rPr>
        <w:t xml:space="preserve">terraform plan is posted to the PR; terraform apply runs on merge behind the matching GitHub Environment approval.</w:t>
      </w:r>
    </w:p>
    <w:p>
      <w:pPr>
        <w:pStyle w:val="ListParagraph"/>
        <w:numPr>
          <w:ilvl w:val="0"/>
          <w:numId w:val="2"/>
        </w:numPr>
        <w:spacing w:after="120" w:line="290"/>
      </w:pPr>
      <w:r>
        <w:rPr>
          <w:rFonts w:ascii="Calibri" w:cs="Calibri" w:eastAsia="Calibri" w:hAnsi="Calibri"/>
          <w:color w:val="1E2A38"/>
          <w:sz w:val="22"/>
          <w:szCs w:val="22"/>
        </w:rPr>
        <w:t xml:space="preserve">A deploy is a PR (often a bot PR from an app repo's release) bumping an image tag in the right gitops overlay; humans do not kubectl apply.</w:t>
      </w:r>
    </w:p>
    <w:p>
      <w:pPr>
        <w:pStyle w:val="ListParagraph"/>
        <w:numPr>
          <w:ilvl w:val="0"/>
          <w:numId w:val="2"/>
        </w:numPr>
        <w:spacing w:after="120" w:line="290"/>
      </w:pPr>
      <w:r>
        <w:rPr>
          <w:rFonts w:ascii="Calibri" w:cs="Calibri" w:eastAsia="Calibri" w:hAnsi="Calibri"/>
          <w:color w:val="1E2A38"/>
          <w:sz w:val="22"/>
          <w:szCs w:val="22"/>
        </w:rPr>
        <w:t xml:space="preserve">Depends on: nothing at compile-time; it references the images that banking-app / takaful-app / platform-adapters publish (dashed arrows in §3).</w:t>
      </w:r>
    </w:p>
    <w:p>
      <w:pPr>
        <w:pStyle w:val="ListParagraph"/>
        <w:numPr>
          <w:ilvl w:val="0"/>
          <w:numId w:val="2"/>
        </w:numPr>
        <w:spacing w:after="120" w:line="290"/>
      </w:pPr>
      <w:r>
        <w:rPr>
          <w:rFonts w:ascii="Calibri" w:cs="Calibri" w:eastAsia="Calibri" w:hAnsi="Calibri"/>
          <w:color w:val="1E2A38"/>
          <w:sz w:val="22"/>
          <w:szCs w:val="22"/>
        </w:rPr>
        <w:t xml:space="preserve">Never contains: application source code or secrets. Owner: Platform / Enablement. Two approvals; production overlays additionally gated by environment approvers.</w:t>
      </w:r>
    </w:p>
    <w:p>
      <w:pPr>
        <w:pStyle w:val="Heading1"/>
        <w:spacing w:after="200" w:before="340"/>
      </w:pPr>
      <w:r>
        <w:rPr>
          <w:rFonts w:ascii="Calibri" w:cs="Calibri" w:eastAsia="Calibri" w:hAnsi="Calibri"/>
          <w:b/>
          <w:bCs/>
          <w:color w:val="0B1F3A"/>
          <w:sz w:val="30"/>
          <w:szCs w:val="30"/>
        </w:rPr>
        <w:t xml:space="preserve">9. Repositories: platform-docs and the Two Templates</w:t>
      </w:r>
    </w:p>
    <w:p>
      <w:pPr>
        <w:pStyle w:val="Heading2"/>
        <w:spacing w:after="160" w:before="260"/>
      </w:pPr>
      <w:r>
        <w:rPr>
          <w:rFonts w:ascii="Calibri" w:cs="Calibri" w:eastAsia="Calibri" w:hAnsi="Calibri"/>
          <w:b/>
          <w:bCs/>
          <w:color w:val="0A7E79"/>
          <w:sz w:val="25"/>
          <w:szCs w:val="25"/>
        </w:rPr>
        <w:t xml:space="preserve">9.1 platform-docs</w:t>
      </w:r>
    </w:p>
    <w:p>
      <w:pPr>
        <w:pStyle w:val="ListParagraph"/>
        <w:numPr>
          <w:ilvl w:val="0"/>
          <w:numId w:val="2"/>
        </w:numPr>
        <w:spacing w:after="120" w:line="290"/>
      </w:pPr>
      <w:r>
        <w:rPr>
          <w:rFonts w:ascii="Calibri" w:cs="Calibri" w:eastAsia="Calibri" w:hAnsi="Calibri"/>
          <w:color w:val="1E2A38"/>
          <w:sz w:val="22"/>
          <w:szCs w:val="22"/>
        </w:rPr>
        <w:t xml:space="preserve">Contents: /blueprint (the docx set 00–28), /design (the design.md companions), /adr (numbered decision records), /rfc (cross-squad proposals), and Discussions enabled for RFC comment.</w:t>
      </w:r>
    </w:p>
    <w:p>
      <w:pPr>
        <w:pStyle w:val="ListParagraph"/>
        <w:numPr>
          <w:ilvl w:val="0"/>
          <w:numId w:val="2"/>
        </w:numPr>
        <w:spacing w:after="120" w:line="290"/>
      </w:pPr>
      <w:r>
        <w:rPr>
          <w:rFonts w:ascii="Calibri" w:cs="Calibri" w:eastAsia="Calibri" w:hAnsi="Calibri"/>
          <w:color w:val="1E2A38"/>
          <w:sz w:val="22"/>
          <w:szCs w:val="22"/>
        </w:rPr>
        <w:t xml:space="preserve">Every architectural decision becomes an ADR here; every shared-adapter contract change starts as an RFC here.</w:t>
      </w:r>
    </w:p>
    <w:p>
      <w:pPr>
        <w:pStyle w:val="ListParagraph"/>
        <w:numPr>
          <w:ilvl w:val="0"/>
          <w:numId w:val="2"/>
        </w:numPr>
        <w:spacing w:after="120" w:line="290"/>
      </w:pPr>
      <w:r>
        <w:rPr>
          <w:rFonts w:ascii="Calibri" w:cs="Calibri" w:eastAsia="Calibri" w:hAnsi="Calibri"/>
          <w:color w:val="1E2A38"/>
          <w:sz w:val="22"/>
          <w:szCs w:val="22"/>
        </w:rPr>
        <w:t xml:space="preserve">CI: markdown lint, link check, and an ADR/RFC front-matter check. Merge = published (it is the source of truth).</w:t>
      </w:r>
    </w:p>
    <w:p>
      <w:pPr>
        <w:pStyle w:val="ListParagraph"/>
        <w:numPr>
          <w:ilvl w:val="0"/>
          <w:numId w:val="2"/>
        </w:numPr>
        <w:spacing w:after="120" w:line="290"/>
      </w:pPr>
      <w:r>
        <w:rPr>
          <w:rFonts w:ascii="Calibri" w:cs="Calibri" w:eastAsia="Calibri" w:hAnsi="Calibri"/>
          <w:color w:val="1E2A38"/>
          <w:sz w:val="22"/>
          <w:szCs w:val="22"/>
        </w:rPr>
        <w:t xml:space="preserve">Depends on: nothing. Never contains: code or secrets. Owner: Platform / Enablement; content reviewed by the affected squad.</w:t>
      </w:r>
    </w:p>
    <w:p>
      <w:pPr>
        <w:pStyle w:val="Heading2"/>
        <w:spacing w:after="160" w:before="260"/>
      </w:pPr>
      <w:r>
        <w:rPr>
          <w:rFonts w:ascii="Calibri" w:cs="Calibri" w:eastAsia="Calibri" w:hAnsi="Calibri"/>
          <w:b/>
          <w:bCs/>
          <w:color w:val="0A7E79"/>
          <w:sz w:val="25"/>
          <w:szCs w:val="25"/>
        </w:rPr>
        <w:t xml:space="preserve">9.2 service-template-ts and service-template-jvm</w:t>
      </w:r>
    </w:p>
    <w:p>
      <w:pPr>
        <w:pStyle w:val="ListParagraph"/>
        <w:numPr>
          <w:ilvl w:val="0"/>
          <w:numId w:val="2"/>
        </w:numPr>
        <w:spacing w:after="120" w:line="290"/>
      </w:pPr>
      <w:r>
        <w:rPr>
          <w:rFonts w:ascii="Calibri" w:cs="Calibri" w:eastAsia="Calibri" w:hAnsi="Calibri"/>
          <w:color w:val="1E2A38"/>
          <w:sz w:val="22"/>
          <w:szCs w:val="22"/>
        </w:rPr>
        <w:t xml:space="preserve">GitHub template repositories — you click 'Use this template' to start a new service; you do not depend on them at runtime.</w:t>
      </w:r>
    </w:p>
    <w:p>
      <w:pPr>
        <w:pStyle w:val="ListParagraph"/>
        <w:numPr>
          <w:ilvl w:val="0"/>
          <w:numId w:val="2"/>
        </w:numPr>
        <w:spacing w:after="120" w:line="290"/>
      </w:pPr>
      <w:r>
        <w:rPr>
          <w:rFonts w:ascii="Calibri" w:cs="Calibri" w:eastAsia="Calibri" w:hAnsi="Calibri"/>
          <w:color w:val="1E2A38"/>
          <w:sz w:val="22"/>
          <w:szCs w:val="22"/>
        </w:rPr>
        <w:t xml:space="preserve">service-template-ts ships the full NestJS golden path: domain/application/ports/adapters layout, dependency-cruiser config, the ESLint money rule wired in, strict tsconfig extending @platform/tsconfig, the CI workflow with all required checks, a Helm chart, issue forms, PR template, CODEOWNERS stub.</w:t>
      </w:r>
    </w:p>
    <w:p>
      <w:pPr>
        <w:pStyle w:val="ListParagraph"/>
        <w:numPr>
          <w:ilvl w:val="0"/>
          <w:numId w:val="2"/>
        </w:numPr>
        <w:spacing w:after="120" w:line="290"/>
      </w:pPr>
      <w:r>
        <w:rPr>
          <w:rFonts w:ascii="Calibri" w:cs="Calibri" w:eastAsia="Calibri" w:hAnsi="Calibri"/>
          <w:color w:val="1E2A38"/>
          <w:sz w:val="22"/>
          <w:szCs w:val="22"/>
        </w:rPr>
        <w:t xml:space="preserve">service-template-jvm ships the Spring Boot equivalent: the same package layout, ArchUnit rules, the Money value object, jqwik property-test scaffolding, the JVM CI lane, and a Helm chart. Used only for Ledger and Pricing.</w:t>
      </w:r>
    </w:p>
    <w:p>
      <w:pPr>
        <w:pStyle w:val="ListParagraph"/>
        <w:numPr>
          <w:ilvl w:val="0"/>
          <w:numId w:val="2"/>
        </w:numPr>
        <w:spacing w:after="120" w:line="290"/>
      </w:pPr>
      <w:r>
        <w:rPr>
          <w:rFonts w:ascii="Calibri" w:cs="Calibri" w:eastAsia="Calibri" w:hAnsi="Calibri"/>
          <w:color w:val="1E2A38"/>
          <w:sz w:val="22"/>
          <w:szCs w:val="22"/>
        </w:rPr>
        <w:t xml:space="preserve">Exit criterion for both (Doc 27 §8 step 3): a freshly-scaffolded hello-service passes every required check with zero edits.</w:t>
      </w:r>
    </w:p>
    <w:p>
      <w:pPr>
        <w:pStyle w:val="ListParagraph"/>
        <w:numPr>
          <w:ilvl w:val="0"/>
          <w:numId w:val="2"/>
        </w:numPr>
        <w:spacing w:after="120" w:line="290"/>
      </w:pPr>
      <w:r>
        <w:rPr>
          <w:rFonts w:ascii="Calibri" w:cs="Calibri" w:eastAsia="Calibri" w:hAnsi="Calibri"/>
          <w:color w:val="1E2A38"/>
          <w:sz w:val="22"/>
          <w:szCs w:val="22"/>
        </w:rPr>
        <w:t xml:space="preserve">Owner: Platform / Enablement. Kept in lockstep with platform-packages versions.</w:t>
      </w:r>
    </w:p>
    <w:p>
      <w:pPr>
        <w:pStyle w:val="Heading1"/>
        <w:spacing w:after="200" w:before="340"/>
      </w:pPr>
      <w:r>
        <w:rPr>
          <w:rFonts w:ascii="Calibri" w:cs="Calibri" w:eastAsia="Calibri" w:hAnsi="Calibri"/>
          <w:b/>
          <w:bCs/>
          <w:color w:val="0B1F3A"/>
          <w:sz w:val="30"/>
          <w:szCs w:val="30"/>
        </w:rPr>
        <w:t xml:space="preserve">10. Creation Order and Naming Summary</w:t>
      </w:r>
    </w:p>
    <w:p>
      <w:pPr>
        <w:spacing w:after="160" w:line="300"/>
      </w:pPr>
      <w:r>
        <w:rPr>
          <w:rFonts w:ascii="Calibri" w:cs="Calibri" w:eastAsia="Calibri" w:hAnsi="Calibri"/>
          <w:color w:val="1E2A38"/>
          <w:sz w:val="22"/>
          <w:szCs w:val="22"/>
        </w:rPr>
        <w:t xml:space="preserve">Create the repositories in this order so that each one has what it needs when it is created (this is the repo-creation view of Document 27's day-one runbook).</w:t>
      </w:r>
    </w:p>
    <w:tbl>
      <w:tblPr>
        <w:tblW w:type="dxa" w:w="9350"/>
        <w:tblBorders>
          <w:top w:val="single" w:color="D8E2E8" w:sz="4"/>
          <w:left w:val="single" w:color="D8E2E8" w:sz="4"/>
          <w:bottom w:val="single" w:color="D8E2E8" w:sz="4"/>
          <w:right w:val="single" w:color="D8E2E8" w:sz="4"/>
          <w:insideH w:val="single" w:color="D8E2E8" w:sz="4"/>
          <w:insideV w:val="single" w:color="D8E2E8" w:sz="4"/>
        </w:tblBorders>
      </w:tblPr>
      <w:tblGrid>
        <w:gridCol w:w="500"/>
        <w:gridCol w:w="3050"/>
        <w:gridCol w:w="5800"/>
      </w:tblGrid>
      <w:tr>
        <w:trPr>
          <w:tblHeader/>
        </w:trPr>
        <w:tc>
          <w:tcPr>
            <w:tcW w:type="dxa" w:w="5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w:t>
            </w:r>
          </w:p>
        </w:tc>
        <w:tc>
          <w:tcPr>
            <w:tcW w:type="dxa" w:w="305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Repository</w:t>
            </w:r>
          </w:p>
        </w:tc>
        <w:tc>
          <w:tcPr>
            <w:tcW w:type="dxa" w:w="5800"/>
            <w:shd w:fill="0B1F3A" w:val="clear"/>
            <w:tcMar>
              <w:top w:type="dxa" w:w="90"/>
              <w:left w:type="dxa" w:w="130"/>
              <w:bottom w:type="dxa" w:w="90"/>
              <w:right w:type="dxa" w:w="130"/>
            </w:tcMar>
          </w:tcPr>
          <w:p>
            <w:pPr>
              <w:spacing w:after="0" w:line="260"/>
            </w:pPr>
            <w:r>
              <w:rPr>
                <w:rFonts w:ascii="Calibri" w:cs="Calibri" w:eastAsia="Calibri" w:hAnsi="Calibri"/>
                <w:b/>
                <w:bCs/>
                <w:color w:val="FFFFFF"/>
                <w:sz w:val="20"/>
                <w:szCs w:val="20"/>
              </w:rPr>
              <w:t xml:space="preserve">Created when / why</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1</w:t>
            </w:r>
          </w:p>
        </w:tc>
        <w:tc>
          <w:tcPr>
            <w:tcW w:type="dxa" w:w="3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platform-docs</w:t>
            </w:r>
          </w:p>
        </w:tc>
        <w:tc>
          <w:tcPr>
            <w:tcW w:type="dxa" w:w="5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First — it holds this document and ADR-0001 (the strategy itself)</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2</w:t>
            </w:r>
          </w:p>
        </w:tc>
        <w:tc>
          <w:tcPr>
            <w:tcW w:type="dxa" w:w="3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service-template-ts</w:t>
            </w:r>
          </w:p>
        </w:tc>
        <w:tc>
          <w:tcPr>
            <w:tcW w:type="dxa" w:w="58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Before any service, so services are born consistent</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3</w:t>
            </w:r>
          </w:p>
        </w:tc>
        <w:tc>
          <w:tcPr>
            <w:tcW w:type="dxa" w:w="3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service-template-jvm</w:t>
            </w:r>
          </w:p>
        </w:tc>
        <w:tc>
          <w:tcPr>
            <w:tcW w:type="dxa" w:w="5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Alongside #2, for the two JVM services</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4</w:t>
            </w:r>
          </w:p>
        </w:tc>
        <w:tc>
          <w:tcPr>
            <w:tcW w:type="dxa" w:w="3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platform-packages</w:t>
            </w:r>
          </w:p>
        </w:tc>
        <w:tc>
          <w:tcPr>
            <w:tcW w:type="dxa" w:w="58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Before any service compiles — publishes the libraries they import</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5</w:t>
            </w:r>
          </w:p>
        </w:tc>
        <w:tc>
          <w:tcPr>
            <w:tcW w:type="dxa" w:w="3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platform-infra</w:t>
            </w:r>
          </w:p>
        </w:tc>
        <w:tc>
          <w:tcPr>
            <w:tcW w:type="dxa" w:w="5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Before anything deploys — stands up the develop cluster + ArgoCD</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6</w:t>
            </w:r>
          </w:p>
        </w:tc>
        <w:tc>
          <w:tcPr>
            <w:tcW w:type="dxa" w:w="3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platform-adapters</w:t>
            </w:r>
          </w:p>
        </w:tc>
        <w:tc>
          <w:tcPr>
            <w:tcW w:type="dxa" w:w="58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First code repo with services — the shared foundation both apps need</w:t>
            </w:r>
          </w:p>
        </w:tc>
      </w:tr>
      <w:tr>
        <w:tc>
          <w:tcPr>
            <w:tcW w:type="dxa" w:w="5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7</w:t>
            </w:r>
          </w:p>
        </w:tc>
        <w:tc>
          <w:tcPr>
            <w:tcW w:type="dxa" w:w="305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banking-app</w:t>
            </w:r>
          </w:p>
        </w:tc>
        <w:tc>
          <w:tcPr>
            <w:tcW w:type="dxa" w:w="5800"/>
            <w:shd w:fill="FFFFFF"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The primary application; the walking skeleton lives here</w:t>
            </w:r>
          </w:p>
        </w:tc>
      </w:tr>
      <w:tr>
        <w:tc>
          <w:tcPr>
            <w:tcW w:type="dxa" w:w="5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8</w:t>
            </w:r>
          </w:p>
        </w:tc>
        <w:tc>
          <w:tcPr>
            <w:tcW w:type="dxa" w:w="305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takaful-app</w:t>
            </w:r>
          </w:p>
        </w:tc>
        <w:tc>
          <w:tcPr>
            <w:tcW w:type="dxa" w:w="5800"/>
            <w:shd w:fill="F4F8FA" w:val="clear"/>
            <w:tcMar>
              <w:top w:type="dxa" w:w="90"/>
              <w:left w:type="dxa" w:w="130"/>
              <w:bottom w:type="dxa" w:w="90"/>
              <w:right w:type="dxa" w:w="130"/>
            </w:tcMar>
          </w:tcPr>
          <w:p>
            <w:pPr>
              <w:spacing w:after="0" w:line="260"/>
            </w:pPr>
            <w:r>
              <w:rPr>
                <w:rFonts w:ascii="Calibri" w:cs="Calibri" w:eastAsia="Calibri" w:hAnsi="Calibri"/>
                <w:b w:val="false"/>
                <w:bCs w:val="false"/>
                <w:color w:val="1E2A38"/>
                <w:sz w:val="20"/>
                <w:szCs w:val="20"/>
              </w:rPr>
              <w:t xml:space="preserve">Last — created when the Takaful pilot (Phase C) begins</w:t>
            </w:r>
          </w:p>
        </w:tc>
      </w:tr>
    </w:tbl>
    <w:p>
      <w:pPr>
        <w:pStyle w:val="Heading2"/>
        <w:spacing w:after="160" w:before="260"/>
      </w:pPr>
      <w:r>
        <w:rPr>
          <w:rFonts w:ascii="Calibri" w:cs="Calibri" w:eastAsia="Calibri" w:hAnsi="Calibri"/>
          <w:b/>
          <w:bCs/>
          <w:color w:val="0A7E79"/>
          <w:sz w:val="25"/>
          <w:szCs w:val="25"/>
        </w:rPr>
        <w:t xml:space="preserve">10.1 Naming conventions</w:t>
      </w:r>
    </w:p>
    <w:p>
      <w:pPr>
        <w:pStyle w:val="ListParagraph"/>
        <w:numPr>
          <w:ilvl w:val="0"/>
          <w:numId w:val="2"/>
        </w:numPr>
        <w:spacing w:after="120" w:line="290"/>
      </w:pPr>
      <w:r>
        <w:rPr>
          <w:rFonts w:ascii="Calibri" w:cs="Calibri" w:eastAsia="Calibri" w:hAnsi="Calibri"/>
          <w:color w:val="1E2A38"/>
          <w:sz w:val="22"/>
          <w:szCs w:val="22"/>
        </w:rPr>
        <w:t xml:space="preserve">Repository names: lowercase kebab-case, no org prefix (the org already namespaces them): platform-docs, banking-app, etc.</w:t>
      </w:r>
    </w:p>
    <w:p>
      <w:pPr>
        <w:pStyle w:val="ListParagraph"/>
        <w:numPr>
          <w:ilvl w:val="0"/>
          <w:numId w:val="2"/>
        </w:numPr>
        <w:spacing w:after="120" w:line="290"/>
      </w:pPr>
      <w:r>
        <w:rPr>
          <w:rFonts w:ascii="Calibri" w:cs="Calibri" w:eastAsia="Calibri" w:hAnsi="Calibri"/>
          <w:color w:val="1E2A38"/>
          <w:sz w:val="22"/>
          <w:szCs w:val="22"/>
        </w:rPr>
        <w:t xml:space="preserve">Services inside a workspace: apps/&lt;service&gt; (TS) or jvm/&lt;service&gt; (JVM); packages: packages/&lt;name&gt;; adapters: apps/&lt;adapter&gt;.</w:t>
      </w:r>
    </w:p>
    <w:p>
      <w:pPr>
        <w:pStyle w:val="ListParagraph"/>
        <w:numPr>
          <w:ilvl w:val="0"/>
          <w:numId w:val="2"/>
        </w:numPr>
        <w:spacing w:after="120" w:line="290"/>
      </w:pPr>
      <w:r>
        <w:rPr>
          <w:rFonts w:ascii="Calibri" w:cs="Calibri" w:eastAsia="Calibri" w:hAnsi="Calibri"/>
          <w:color w:val="1E2A38"/>
          <w:sz w:val="22"/>
          <w:szCs w:val="22"/>
        </w:rPr>
        <w:t xml:space="preserve">Release tags: apps use &lt;app&gt;-vMAJOR.MINOR.PATCH (banking-v1.4.0); adapters use adapter-&lt;name&gt;-vMAJOR.MINOR.PATCH; packages version independently via Changesets.</w:t>
      </w:r>
    </w:p>
    <w:p>
      <w:pPr>
        <w:pStyle w:val="ListParagraph"/>
        <w:numPr>
          <w:ilvl w:val="0"/>
          <w:numId w:val="2"/>
        </w:numPr>
        <w:spacing w:after="120" w:line="290"/>
      </w:pPr>
      <w:r>
        <w:rPr>
          <w:rFonts w:ascii="Calibri" w:cs="Calibri" w:eastAsia="Calibri" w:hAnsi="Calibri"/>
          <w:color w:val="1E2A38"/>
          <w:sz w:val="22"/>
          <w:szCs w:val="22"/>
        </w:rPr>
        <w:t xml:space="preserve">Branches: feature|fix|chore|docs|spike/&lt;issue&gt;-&lt;slug&gt;; hotfix/&lt;issue&gt;-&lt;slug&gt; from a production tag (Doc 27 §4).</w:t>
      </w:r>
    </w:p>
    <w:tbl>
      <w:tblPr>
        <w:tblW w:type="dxa" w:w="9350"/>
        <w:tblBorders>
          <w:top w:val="single" w:color="0A7E79" w:sz="6"/>
          <w:left w:val="single" w:color="0A7E79" w:sz="18"/>
          <w:bottom w:val="single" w:color="0A7E79" w:sz="6"/>
          <w:right w:val="single" w:color="0A7E79" w:sz="6"/>
          <w:insideH w:val="single" w:color="0A7E79" w:sz="6"/>
          <w:insideV w:val="single" w:color="0A7E79" w:sz="6"/>
        </w:tblBorders>
      </w:tblPr>
      <w:tblGrid>
        <w:gridCol w:w="9350"/>
      </w:tblGrid>
      <w:tr>
        <w:tc>
          <w:tcPr>
            <w:tcW w:type="dxa" w:w="9350"/>
            <w:shd w:fill="EAF2F8" w:val="clear"/>
            <w:tcMar>
              <w:top w:type="dxa" w:w="130"/>
              <w:left w:type="dxa" w:w="170"/>
              <w:bottom w:type="dxa" w:w="130"/>
              <w:right w:type="dxa" w:w="170"/>
            </w:tcMar>
          </w:tcPr>
          <w:p>
            <w:pPr>
              <w:spacing w:after="0" w:line="290"/>
            </w:pPr>
            <w:r>
              <w:rPr>
                <w:rFonts w:ascii="Calibri" w:cs="Calibri" w:eastAsia="Calibri" w:hAnsi="Calibri"/>
                <w:b/>
                <w:bCs/>
                <w:color w:val="0A7E79"/>
                <w:sz w:val="21"/>
                <w:szCs w:val="21"/>
              </w:rPr>
              <w:t xml:space="preserve">Sequencing discipline.  </w:t>
            </w:r>
            <w:r>
              <w:rPr>
                <w:rFonts w:ascii="Calibri" w:cs="Calibri" w:eastAsia="Calibri" w:hAnsi="Calibri"/>
                <w:color w:val="1E2A38"/>
                <w:sz w:val="21"/>
                <w:szCs w:val="21"/>
              </w:rPr>
              <w:t xml:space="preserve">Do not create all eight on day one. Repositories 1–6 are the foundation and should exist before feature work starts; banking-app follows immediately; takaful-app is deliberately deferred until the shared adapters are real and the banking walking skeleton works — the entire shared-platform payoff depends on that sequencing.</w:t>
            </w:r>
          </w:p>
        </w:tc>
      </w:tr>
    </w:tbl>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Calibri" w:cs="Calibri" w:eastAsia="Calibri" w:hAnsi="Calibri"/>
        <w:color w:val="5B6B7A"/>
        <w:sz w:val="17"/>
        <w:szCs w:val="17"/>
      </w:rPr>
      <w:t xml:space="preserve">Confidential — Internal Use   ·   Page </w:t>
    </w:r>
    <w:r>
      <w:rPr>
        <w:rFonts w:ascii="Calibri" w:cs="Calibri" w:eastAsia="Calibri" w:hAnsi="Calibri"/>
        <w:color w:val="5B6B7A"/>
        <w:sz w:val="17"/>
        <w:szCs w:val="17"/>
      </w:rPr>
      <w:fldChar w:fldCharType="begin"/>
      <w:instrText xml:space="preserve">PAGE</w:instrText>
      <w:fldChar w:fldCharType="separate"/>
      <w:fldChar w:fldCharType="end"/>
    </w:r>
    <w:r>
      <w:rPr>
        <w:rFonts w:ascii="Calibri" w:cs="Calibri" w:eastAsia="Calibri" w:hAnsi="Calibri"/>
        <w:color w:val="5B6B7A"/>
        <w:sz w:val="17"/>
        <w:szCs w:val="17"/>
      </w:rPr>
      <w:t xml:space="preserve"> of </w:t>
    </w:r>
    <w:r>
      <w:rPr>
        <w:rFonts w:ascii="Calibri" w:cs="Calibri" w:eastAsia="Calibri" w:hAnsi="Calibri"/>
        <w:color w:val="5B6B7A"/>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olor w:val="0A7E79"/>
        <w:sz w:val="17"/>
        <w:szCs w:val="17"/>
      </w:rPr>
      <w:t xml:space="preserve">Document 28 — Repository Catalog &amp; Specification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A38"/>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ddc35c6e02a14b32d0565d4cee07743cbb0544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2026-07-22T15:48:11.146Z</dcterms:created>
  <dcterms:modified xsi:type="dcterms:W3CDTF">2026-07-22T15:48:11.159Z</dcterms:modified>
</cp:coreProperties>
</file>

<file path=docProps/custom.xml><?xml version="1.0" encoding="utf-8"?>
<Properties xmlns="http://schemas.openxmlformats.org/officeDocument/2006/custom-properties" xmlns:vt="http://schemas.openxmlformats.org/officeDocument/2006/docPropsVTypes"/>
</file>