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400"/>
        <w:jc w:val="center"/>
      </w:pPr>
      <w:r>
        <w:rPr>
          <w:b/>
          <w:bCs/>
          <w:color w:val="12766A"/>
          <w:sz w:val="22"/>
          <w:szCs w:val="22"/>
        </w:rPr>
        <w:t xml:space="preserve">SERVICE SPECIFICATION · DOCUMENT 02</w:t>
      </w:r>
    </w:p>
    <w:p>
      <w:pPr>
        <w:spacing w:after="120" w:before="120"/>
        <w:jc w:val="center"/>
      </w:pPr>
      <w:r>
        <w:rPr>
          <w:b/>
          <w:bCs/>
          <w:color w:val="0B2447"/>
          <w:sz w:val="44"/>
          <w:szCs w:val="44"/>
        </w:rPr>
        <w:t xml:space="preserve">Identity, KYC/KYB &amp; Onboarding Service</w:t>
      </w:r>
    </w:p>
    <w:p>
      <w:pPr>
        <w:spacing w:after="200"/>
        <w:jc w:val="center"/>
      </w:pPr>
      <w:r>
        <w:rPr>
          <w:b/>
          <w:bCs/>
          <w:color w:val="12766A"/>
          <w:sz w:val="26"/>
          <w:szCs w:val="26"/>
        </w:rPr>
        <w:t xml:space="preserve">Customer and business onboarding, identity verification orchestration, risk tiering</w:t>
      </w:r>
    </w:p>
    <w:p>
      <w:pPr>
        <w:spacing w:after="300"/>
        <w:jc w:val="center"/>
      </w:pPr>
      <w:r>
        <w:rPr>
          <w:i/>
          <w:iCs/>
          <w:color w:val="5D6D7E"/>
          <w:sz w:val="21"/>
          <w:szCs w:val="21"/>
        </w:rPr>
        <w:t xml:space="preserve">Owns the customer/business record and its verification state; orchestrates eKYC/eKYB provider adapters without embedding any single provider's model.</w:t>
      </w:r>
    </w:p>
    <w:p>
      <w:pPr>
        <w:pBdr>
          <w:bottom w:val="single" w:color="B9770E" w:sz="12" w:space="8"/>
        </w:pBdr>
        <w:spacing w:after="300"/>
      </w:pPr>
    </w:p>
    <w:tbl>
      <w:tblPr>
        <w:tblW w:type="dxa" w:w="935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695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Field</w:t>
            </w:r>
          </w:p>
        </w:tc>
        <w:tc>
          <w:tcPr>
            <w:tcW w:type="dxa" w:w="695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Details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title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Identity, KYC/KYB &amp; Onboarding Service — Service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Part of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Product Architecture Blueprint v3.0 — Multi-Tenant, Plug-and-Play Digital Banking &amp; Remittance Platform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Owning squad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 &amp; Onboarding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Sellable standalone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Yes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Primary stack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Java 21 + Spring Boot 3.3, PostgreSQL, Kafka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Version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3.0 — Build-Ready Baseline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Date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2 July 2026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Classification</w:t>
            </w:r>
          </w:p>
        </w:tc>
        <w:tc>
          <w:tcPr>
            <w:tcW w:type="dxa" w:w="695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Confidential — Internal Use</w:t>
            </w:r>
          </w:p>
        </w:tc>
      </w:tr>
    </w:tbl>
    <w:p>
      <w:r>
        <w:br w:type="page"/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1. Purpose and Scope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This service is the system of record for a tenant's customers (retail) and businesses (KYB) and the orchestrator of the identity-verification journey. It issues a risk tier per customer that downstream services (Screening, Wallets, Payments) consume to gate eligibility and limits.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1.1 In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Customer/business profile CRUD, versioned change history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Identity verification journey orchestration (document capture, liveness, data verification) via eKYC/eKYB adapters (Document 16)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Risk tiering (Low/Medium/High) as an input to the rules engine, computed from verification results, geography, product and screening signals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UBO (ultimate beneficial owner) capture and verification for KYB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Periodic re-verification / periodic review scheduling per compliance pack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1.2 Out of scope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Sanctions/PEP/adverse-media screening itself — owned by the Screening &amp; AML service (Document 03), which this service calls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Storage of raw biometric templates beyond the retention period defined by the compliance pack — delegated to the eKYC provider where permitted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2. Domain Model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The core aggregate is the Customer (or Business) profile, with an attached VerificationCase representing one identity-verification journey.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800"/>
        <w:gridCol w:w="33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Entity / Value Object</w:t>
            </w:r>
          </w:p>
        </w:tc>
        <w:tc>
          <w:tcPr>
            <w:tcW w:type="dxa" w:w="38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Description</w:t>
            </w:r>
          </w:p>
        </w:tc>
        <w:tc>
          <w:tcPr>
            <w:tcW w:type="dxa" w:w="33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invariants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Customer / Business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The onboarded natural or legal person, tenant-scoped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Exactly one active risk tier at any time; immutable audit trail of tier changes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VerificationCase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One identity-verification attempt/journey with a provider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Terminal states are immutable; retries create a new case, never mutate a completed one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UBO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An ultimate beneficial owner linked to a Business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Ownership percentages across all UBOs must be reconcilable against the compliance pack's disclosure threshold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RiskTier</w:t>
            </w:r>
          </w:p>
        </w:tc>
        <w:tc>
          <w:tcPr>
            <w:tcW w:type="dxa" w:w="38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Value object: Low / Medium / High plus contributing factors</w:t>
            </w:r>
          </w:p>
        </w:tc>
        <w:tc>
          <w:tcPr>
            <w:tcW w:type="dxa" w:w="33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Recomputed on any material change to inputs; never silently stale beyond the pack's re-review cadence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3. Ports (Interfaces Owned by This Service)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3.1 Inbound ports (use cases)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RegisterCustomer(tenant, applicant data) → CustomerId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StartVerification(customerId, journeyType) → VerificationCaseId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SubmitVerificationEvidence(caseId, documents/liveness data)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GetRiskTier(customerId) → RiskTier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ScheduleReReview(customerId, cadence)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3.2 Outbound ports (dependencies on other capabilities)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400"/>
        <w:gridCol w:w="4200"/>
        <w:gridCol w:w="2700"/>
      </w:tblGrid>
      <w:tr>
        <w:trPr>
          <w:tblHeader/>
        </w:trPr>
        <w:tc>
          <w:tcPr>
            <w:tcW w:type="dxa" w:w="24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Port</w:t>
            </w:r>
          </w:p>
        </w:tc>
        <w:tc>
          <w:tcPr>
            <w:tcW w:type="dxa" w:w="4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27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Adapter specification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EkycProviderPort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Document/liveness verification with an eKYC vendor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16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Initial and ongoing sanctions/PEP screening of the applicant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15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RepositoryPort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Persist customer, business, UBO and case records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14</w:t>
            </w:r>
          </w:p>
        </w:tc>
      </w:tr>
      <w:tr>
        <w:tc>
          <w:tcPr>
            <w:tcW w:type="dxa" w:w="24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NotificationPort</w:t>
            </w:r>
          </w:p>
        </w:tc>
        <w:tc>
          <w:tcPr>
            <w:tcW w:type="dxa" w:w="4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Notify the customer of verification status</w:t>
            </w:r>
          </w:p>
        </w:tc>
        <w:tc>
          <w:tcPr>
            <w:tcW w:type="dxa" w:w="27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Document 21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4. API Surface</w:t>
      </w:r>
    </w:p>
    <w:p>
      <w:pPr>
        <w:spacing w:after="160" w:line="288"/>
        <w:jc w:val="left"/>
      </w:pPr>
      <w:r>
        <w:rPr>
          <w:sz w:val="21"/>
          <w:szCs w:val="21"/>
        </w:rPr>
        <w:t xml:space="preserve">All endpoints are versioned under /v1, require an OAuth2 access token carrying the tenant claim, and accept an Idempotency-Key header on mutating calls. Full OpenAPI specification is maintained in the service repository; this table is the contract summary.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Method &amp; path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Purpose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/v1/customers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Register a new customer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Returns 201 with customerId; triggers RiskTier=Unrated pending verification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/v1/customers/{id}/verifications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Start a verification journey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Body specifies journeyType (document, liveness, combined)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/v1/verifications/{caseId}/evidence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Submit evidence for a case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Multipart upload; routed to the bound eKYC adapter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GET /v1/customers/{id}/risk-tier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Read current risk tier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Includes contributing-factor breakdown for auditability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POST /v1/businesses/{id}/ubos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Register a UBO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Validated against the compliance pack's disclosure threshold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5. Events</w:t>
      </w:r>
    </w:p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5.1 Published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600"/>
        <w:gridCol w:w="3200"/>
        <w:gridCol w:w="3500"/>
      </w:tblGrid>
      <w:tr>
        <w:trPr>
          <w:tblHeader/>
        </w:trPr>
        <w:tc>
          <w:tcPr>
            <w:tcW w:type="dxa" w:w="2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Emitted when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payload fields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identity.customer.registered.v1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customer/business record is created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customer_id, tenant_id, type, created_at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identity.verification.completed.v1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verification case reaches a terminal state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case_id, customer_id, outcome, risk_tier</w:t>
            </w:r>
          </w:p>
        </w:tc>
      </w:tr>
      <w:tr>
        <w:tc>
          <w:tcPr>
            <w:tcW w:type="dxa" w:w="2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identity.risk_tier.changed.v1</w:t>
            </w:r>
          </w:p>
        </w:tc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 customer's risk tier changes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customer_id, old_tier, new_tier, reason</w:t>
            </w:r>
          </w:p>
        </w:tc>
      </w:tr>
    </w:tbl>
    <w:p>
      <w:pPr>
        <w:pStyle w:val="Heading2"/>
        <w:spacing w:after="120" w:before="280"/>
      </w:pPr>
      <w:r>
        <w:rPr>
          <w:b/>
          <w:bCs/>
          <w:color w:val="12766A"/>
          <w:sz w:val="25"/>
          <w:szCs w:val="25"/>
        </w:rPr>
        <w:t xml:space="preserve">5.2 Consumed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Topic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Reaction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screening.case.resolved.v1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Feeds screening outcome into risk-tier recomputation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6. Data Model (Core Tables)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2200"/>
        <w:gridCol w:w="3600"/>
        <w:gridCol w:w="3500"/>
      </w:tblGrid>
      <w:tr>
        <w:trPr>
          <w:tblHeader/>
        </w:trPr>
        <w:tc>
          <w:tcPr>
            <w:tcW w:type="dxa" w:w="2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Table</w:t>
            </w:r>
          </w:p>
        </w:tc>
        <w:tc>
          <w:tcPr>
            <w:tcW w:type="dxa" w:w="36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Key columns</w:t>
            </w:r>
          </w:p>
        </w:tc>
        <w:tc>
          <w:tcPr>
            <w:tcW w:type="dxa" w:w="35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Notes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customers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tenant_id, type, status, risk_tier, created_at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Immutable audit table customer_history tracks every field change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verification_cases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customer_id, provider_adapter, status, outcome, evidence_ref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evidence_ref points to encrypted object storage, never inline PII blobs</w:t>
            </w:r>
          </w:p>
        </w:tc>
      </w:tr>
      <w:tr>
        <w:tc>
          <w:tcPr>
            <w:tcW w:type="dxa" w:w="2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ubos</w:t>
            </w:r>
          </w:p>
        </w:tc>
        <w:tc>
          <w:tcPr>
            <w:tcW w:type="dxa" w:w="36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id, business_id, name, ownership_pct, verification_status</w:t>
            </w:r>
          </w:p>
        </w:tc>
        <w:tc>
          <w:tcPr>
            <w:tcW w:type="dxa" w:w="35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Sum of ownership_pct validated against pack threshold on write</w:t>
            </w:r>
          </w:p>
        </w:tc>
      </w:tr>
    </w:tbl>
    <w:tbl>
      <w:tblPr>
        <w:tblW w:type="dxa" w:w="9350"/>
        <w:tblBorders>
          <w:top w:val="single" w:color="12766A" w:sz="4"/>
          <w:left w:val="single" w:color="12766A" w:sz="4"/>
          <w:bottom w:val="single" w:color="12766A" w:sz="4"/>
          <w:right w:val="single" w:color="12766A" w:sz="4"/>
          <w:insideH w:val="single" w:color="12766A" w:sz="4"/>
          <w:insideV w:val="single" w:color="12766A" w:sz="4"/>
        </w:tblBorders>
      </w:tblPr>
      <w:tblGrid>
        <w:gridCol w:w="100"/>
      </w:tblGrid>
      <w:tr>
        <w:tc>
          <w:tcPr>
            <w:tcW w:type="dxa" w:w="9350"/>
            <w:shd w:fill="EAF2F8" w:val="clear"/>
            <w:tcMar>
              <w:top w:type="dxa" w:w="140"/>
              <w:left w:type="dxa" w:w="180"/>
              <w:bottom w:type="dxa" w:w="140"/>
              <w:right w:type="dxa" w:w="180"/>
            </w:tcMar>
          </w:tcPr>
          <w:p>
            <w:pPr>
              <w:spacing w:after="0" w:line="276"/>
            </w:pPr>
            <w:r>
              <w:rPr>
                <w:b/>
                <w:bCs/>
                <w:color w:val="12766A"/>
                <w:sz w:val="21"/>
                <w:szCs w:val="21"/>
              </w:rPr>
              <w:t xml:space="preserve">Tenant isolation.  </w:t>
            </w:r>
            <w:r>
              <w:rPr>
                <w:sz w:val="21"/>
                <w:szCs w:val="21"/>
              </w:rPr>
              <w:t xml:space="preserve">This service's tables are isolated per the platform-wide tenant tier model (database-per-tenant for Enterprise, schema-per-tenant for Standard, pooled + RLS for Starter/Sandbox). Every table carries a tenant_id column even under silo/bridge isolation, for defence-in-depth and consistent tooling.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7. Configuration and Compliance Interaction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Verification levels required per customer type/product come from the assigned compliance pack (Document 08 references the same pack model) — e.g. the Pakistan pack requires CNIC verification via NADRA for the Standard tier, the UAE pack Emirates ID verification, and the KSA pack National ID/Iqama verification via Absher/Yakeen (Document 16).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UBO disclosure threshold (e.g. 25% ownership) is a pack-level configuration value, not hard-coded.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Re-review cadence is configured per risk tier per pack.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8. Non-Functional Requirements</w:t>
      </w:r>
    </w:p>
    <w:tbl>
      <w:tblPr>
        <w:tblW w:type="dxa" w:w="9300"/>
        <w:tblBorders>
          <w:top w:val="single" w:color="AAB7B8" w:sz="4"/>
          <w:left w:val="single" w:color="AAB7B8" w:sz="4"/>
          <w:bottom w:val="single" w:color="AAB7B8" w:sz="4"/>
          <w:right w:val="single" w:color="AAB7B8" w:sz="4"/>
          <w:insideH w:val="single" w:color="AAB7B8" w:sz="4"/>
          <w:insideV w:val="single" w:color="AAB7B8" w:sz="4"/>
        </w:tblBorders>
      </w:tblPr>
      <w:tblGrid>
        <w:gridCol w:w="3200"/>
        <w:gridCol w:w="6100"/>
      </w:tblGrid>
      <w:tr>
        <w:trPr>
          <w:tblHeader/>
        </w:trPr>
        <w:tc>
          <w:tcPr>
            <w:tcW w:type="dxa" w:w="32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Attribute</w:t>
            </w:r>
          </w:p>
        </w:tc>
        <w:tc>
          <w:tcPr>
            <w:tcW w:type="dxa" w:w="6100"/>
            <w:shd w:fill="0B2447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/>
                <w:bCs/>
                <w:color w:val="FFFFFF"/>
                <w:sz w:val="19"/>
                <w:szCs w:val="19"/>
              </w:rPr>
              <w:t xml:space="preserve">Target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Verification journey completion (happy path)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p95 &lt; 90 seconds including provider round-trip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Availability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Matches tenant tier SLA (§15.1 of the master blueprint)</w:t>
            </w:r>
          </w:p>
        </w:tc>
      </w:tr>
      <w:tr>
        <w:tc>
          <w:tcPr>
            <w:tcW w:type="dxa" w:w="32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Data retention</w:t>
            </w:r>
          </w:p>
        </w:tc>
        <w:tc>
          <w:tcPr>
            <w:tcW w:type="dxa" w:w="6100"/>
            <w:shd w:fill="FFFFFF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center"/>
          </w:tcPr>
          <w:p>
            <w:pPr>
              <w:spacing w:after="0" w:line="260"/>
            </w:pPr>
            <w:r>
              <w:rPr>
                <w:b w:val="false"/>
                <w:bCs w:val="false"/>
                <w:color w:val="1B2631"/>
                <w:sz w:val="19"/>
                <w:szCs w:val="19"/>
              </w:rPr>
              <w:t xml:space="preserve">Raw evidence retained per pack; crypto-shredded on erasure request</w:t>
            </w:r>
          </w:p>
        </w:tc>
      </w:tr>
    </w:tbl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9. Dependencies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Screening &amp; AML Service (Document 03) — synchronous call during onboarding, async re-screening thereafter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eKYC/eKYB Provider Adapter (Document 16)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Tenant Registry &amp; Control-Plane Service (Document 12) — for the assigned compliance pack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10. Technology Stack for This Service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Java 21 + Spring Boot 3.3, hexagonal package layout per §11.6 of the master blueprint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PostgreSQL 16 for the customer/case/UBO tables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S3-compatible object storage for verification evidence, per-tenant KMS key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Kafka for identity.* events via transactional outbox</w:t>
      </w:r>
    </w:p>
    <w:p>
      <w:pPr>
        <w:pStyle w:val="Heading1"/>
        <w:pBdr>
          <w:bottom w:val="single" w:color="0B2447" w:sz="6" w:space="4"/>
        </w:pBdr>
        <w:spacing w:after="160" w:before="360"/>
      </w:pPr>
      <w:r>
        <w:rPr>
          <w:b/>
          <w:bCs/>
          <w:color w:val="0B2447"/>
          <w:sz w:val="30"/>
          <w:szCs w:val="30"/>
        </w:rPr>
        <w:t xml:space="preserve">11. Open Questions and Risks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eKYC provider outages block onboarding — mitigated by supporting 2+ certified provider adapters per region and a documented manual-review fallback path.</w:t>
      </w:r>
    </w:p>
    <w:p>
      <w:pPr>
        <w:pStyle w:val="ListParagraph"/>
        <w:numPr>
          <w:ilvl w:val="0"/>
          <w:numId w:val="1"/>
        </w:numPr>
        <w:spacing w:after="90" w:line="276"/>
      </w:pPr>
      <w:r>
        <w:rPr>
          <w:sz w:val="21"/>
          <w:szCs w:val="21"/>
        </w:rPr>
        <w:t xml:space="preserve">Risk-tier drift if re-review scheduling is not enforced — mitigated by a scheduled job with an SLA alert if a re-review is overdue.</w:t>
      </w:r>
    </w:p>
    <w:sectPr>
      <w:headerReference w:type="default" r:id="rId7"/>
      <w:footerReference w:type="default" r:id="rId8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5D6D7E"/>
        <w:sz w:val="16"/>
        <w:szCs w:val="16"/>
      </w:rPr>
      <w:t xml:space="preserve">Confidential — Internal Use   ·   Page </w:t>
    </w:r>
    <w:r>
      <w:rPr>
        <w:color w:val="5D6D7E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5D6D7E"/>
        <w:sz w:val="16"/>
        <w:szCs w:val="16"/>
      </w:rPr>
      <w:t xml:space="preserve"> of </w:t>
    </w:r>
    <w:r>
      <w:rPr>
        <w:color w:val="5D6D7E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jc w:val="right"/>
    </w:pPr>
    <w:r>
      <w:rPr>
        <w:color w:val="5D6D7E"/>
        <w:sz w:val="16"/>
        <w:szCs w:val="16"/>
      </w:rPr>
      <w:t xml:space="preserve">Document 02 — Identity, KYC/KYB &amp; Onboarding Service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decimal"/>
      <w:lvlText w:val="%1."/>
      <w:lvlJc w:val="start"/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1"/>
        <w:szCs w:val="21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2026-07-06T12:24:04.734Z</dcterms:created>
  <dcterms:modified xsi:type="dcterms:W3CDTF">2026-07-06T12:24:04.734Z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