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400"/>
        <w:jc w:val="center"/>
      </w:pPr>
      <w:r>
        <w:rPr>
          <w:b/>
          <w:bCs/>
          <w:color w:val="12766A"/>
          <w:sz w:val="22"/>
          <w:szCs w:val="22"/>
        </w:rPr>
        <w:t xml:space="preserve">SERVICE SPECIFICATION · DOCUMENT 03</w:t>
      </w:r>
    </w:p>
    <w:p>
      <w:pPr>
        <w:spacing w:after="120" w:before="120"/>
        <w:jc w:val="center"/>
      </w:pPr>
      <w:r>
        <w:rPr>
          <w:b/>
          <w:bCs/>
          <w:color w:val="0B2447"/>
          <w:sz w:val="44"/>
          <w:szCs w:val="44"/>
        </w:rPr>
        <w:t xml:space="preserve">Screening &amp; AML Service</w:t>
      </w:r>
    </w:p>
    <w:p>
      <w:pPr>
        <w:spacing w:after="200"/>
        <w:jc w:val="center"/>
      </w:pPr>
      <w:r>
        <w:rPr>
          <w:b/>
          <w:bCs/>
          <w:color w:val="12766A"/>
          <w:sz w:val="26"/>
          <w:szCs w:val="26"/>
        </w:rPr>
        <w:t xml:space="preserve">Sanctions, PEP and adverse-media screening; transaction monitoring; case management</w:t>
      </w:r>
    </w:p>
    <w:p>
      <w:pPr>
        <w:spacing w:after="300"/>
        <w:jc w:val="center"/>
      </w:pPr>
      <w:r>
        <w:rPr>
          <w:i/>
          <w:iCs/>
          <w:color w:val="5D6D7E"/>
          <w:sz w:val="21"/>
          <w:szCs w:val="21"/>
        </w:rPr>
        <w:t xml:space="preserve">The compliance gate every money movement and every onboarding passes through; behaviour is entirely driven by the assigned compliance pack, never hard-coded per tenant.</w:t>
      </w:r>
    </w:p>
    <w:p>
      <w:pPr>
        <w:pBdr>
          <w:bottom w:val="single" w:color="B9770E" w:sz="12" w:space="8"/>
        </w:pBdr>
        <w:spacing w:after="300"/>
      </w:pPr>
    </w:p>
    <w:tbl>
      <w:tblPr>
        <w:tblW w:type="dxa" w:w="9350"/>
        <w:tblBorders>
          <w:top w:val="single" w:color="AAB7B8" w:sz="4"/>
          <w:left w:val="single" w:color="AAB7B8" w:sz="4"/>
          <w:bottom w:val="single" w:color="AAB7B8" w:sz="4"/>
          <w:right w:val="single" w:color="AAB7B8" w:sz="4"/>
          <w:insideH w:val="single" w:color="AAB7B8" w:sz="4"/>
          <w:insideV w:val="single" w:color="AAB7B8" w:sz="4"/>
        </w:tblBorders>
      </w:tblPr>
      <w:tblGrid>
        <w:gridCol w:w="2400"/>
        <w:gridCol w:w="6950"/>
      </w:tblGrid>
      <w:tr>
        <w:trPr>
          <w:tblHeader/>
        </w:trPr>
        <w:tc>
          <w:tcPr>
            <w:tcW w:type="dxa" w:w="2400"/>
            <w:shd w:fill="0B2447" w:val="clear"/>
            <w:tcMar>
              <w:top w:type="dxa" w:w="100"/>
              <w:left w:type="dxa" w:w="120"/>
              <w:bottom w:type="dxa" w:w="100"/>
              <w:right w:type="dxa" w:w="120"/>
            </w:tcMar>
            <w:vAlign w:val="center"/>
          </w:tcPr>
          <w:p>
            <w:pPr>
              <w:spacing w:after="0" w:line="260"/>
            </w:pPr>
            <w:r>
              <w:rPr>
                <w:b/>
                <w:bCs/>
                <w:color w:val="FFFFFF"/>
                <w:sz w:val="19"/>
                <w:szCs w:val="19"/>
              </w:rPr>
              <w:t xml:space="preserve">Field</w:t>
            </w:r>
          </w:p>
        </w:tc>
        <w:tc>
          <w:tcPr>
            <w:tcW w:type="dxa" w:w="6950"/>
            <w:shd w:fill="0B2447" w:val="clear"/>
            <w:tcMar>
              <w:top w:type="dxa" w:w="100"/>
              <w:left w:type="dxa" w:w="120"/>
              <w:bottom w:type="dxa" w:w="100"/>
              <w:right w:type="dxa" w:w="120"/>
            </w:tcMar>
            <w:vAlign w:val="center"/>
          </w:tcPr>
          <w:p>
            <w:pPr>
              <w:spacing w:after="0" w:line="260"/>
            </w:pPr>
            <w:r>
              <w:rPr>
                <w:b/>
                <w:bCs/>
                <w:color w:val="FFFFFF"/>
                <w:sz w:val="19"/>
                <w:szCs w:val="19"/>
              </w:rPr>
              <w:t xml:space="preserve">Details</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Document title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Screening &amp; AML Service — Service Specification</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Part of</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Product Architecture Blueprint v3.0 — Multi-Tenant, Plug-and-Play Digital Banking &amp; Remittance Platform</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Owning squad</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Compliance &amp; AML</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Sellable standalone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Yes</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Primary stack</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Java 21 + Spring Boot 3.3, PostgreSQL, OpenSearch, Kafka</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Version</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3.0 — Build-Ready Baseline</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Date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2 July 2026</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Classification</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Confidential — Internal Use</w:t>
            </w:r>
          </w:p>
        </w:tc>
      </w:tr>
    </w:tbl>
    <w:p>
      <w:r>
        <w:br w:type="page"/>
      </w:r>
    </w:p>
    <w:p>
      <w:pPr>
        <w:pStyle w:val="Heading1"/>
        <w:pBdr>
          <w:bottom w:val="single" w:color="0B2447" w:sz="6" w:space="4"/>
        </w:pBdr>
        <w:spacing w:after="160" w:before="360"/>
      </w:pPr>
      <w:r>
        <w:rPr>
          <w:b/>
          <w:bCs/>
          <w:color w:val="0B2447"/>
          <w:sz w:val="30"/>
          <w:szCs w:val="30"/>
        </w:rPr>
        <w:t xml:space="preserve">1. Purpose and Scope</w:t>
      </w:r>
    </w:p>
    <w:p>
      <w:pPr>
        <w:spacing w:after="160" w:line="288"/>
        <w:jc w:val="left"/>
      </w:pPr>
      <w:r>
        <w:rPr>
          <w:sz w:val="21"/>
          <w:szCs w:val="21"/>
        </w:rPr>
        <w:t xml:space="preserve">Screens customers and transactions against sanctions/PEP/adverse-media lists, runs transaction-monitoring scenarios, and manages the resulting case queue through to disposition. Every check is scoped by the tenant's assigned compliance pack. At launch the list scope for the Pakistan, UAE and KSA packs includes, at minimum, the relevant UN Security Council Consolidated List, OFAC SDN, and each market's own domestic list — Pakistan's NACTA proscribed-persons list, the UAE's Local Terrorist List, and Saudi Arabia's domestic designated-persons list — confirmed and kept current with each regulator/FIU as part of pack certification (§19.1 of the master blueprint).</w:t>
      </w:r>
    </w:p>
    <w:p>
      <w:pPr>
        <w:pStyle w:val="Heading2"/>
        <w:spacing w:after="120" w:before="280"/>
      </w:pPr>
      <w:r>
        <w:rPr>
          <w:b/>
          <w:bCs/>
          <w:color w:val="12766A"/>
          <w:sz w:val="25"/>
          <w:szCs w:val="25"/>
        </w:rPr>
        <w:t xml:space="preserve">1.1 In scope</w:t>
      </w:r>
    </w:p>
    <w:p>
      <w:pPr>
        <w:pStyle w:val="ListParagraph"/>
        <w:numPr>
          <w:ilvl w:val="0"/>
          <w:numId w:val="1"/>
        </w:numPr>
        <w:spacing w:after="90" w:line="276"/>
      </w:pPr>
      <w:r>
        <w:rPr>
          <w:sz w:val="21"/>
          <w:szCs w:val="21"/>
        </w:rPr>
        <w:t xml:space="preserve">Real-time and batch screening of customers and counterparties</w:t>
      </w:r>
    </w:p>
    <w:p>
      <w:pPr>
        <w:pStyle w:val="ListParagraph"/>
        <w:numPr>
          <w:ilvl w:val="0"/>
          <w:numId w:val="1"/>
        </w:numPr>
        <w:spacing w:after="90" w:line="276"/>
      </w:pPr>
      <w:r>
        <w:rPr>
          <w:sz w:val="21"/>
          <w:szCs w:val="21"/>
        </w:rPr>
        <w:t xml:space="preserve">Transaction-monitoring rule evaluation (structuring, velocity, high-risk corridor scenarios)</w:t>
      </w:r>
    </w:p>
    <w:p>
      <w:pPr>
        <w:pStyle w:val="ListParagraph"/>
        <w:numPr>
          <w:ilvl w:val="0"/>
          <w:numId w:val="1"/>
        </w:numPr>
        <w:spacing w:after="90" w:line="276"/>
      </w:pPr>
      <w:r>
        <w:rPr>
          <w:sz w:val="21"/>
          <w:szCs w:val="21"/>
        </w:rPr>
        <w:t xml:space="preserve">Case management: case creation, assignment, investigation notes, disposition, maker-checker sign-off</w:t>
      </w:r>
    </w:p>
    <w:p>
      <w:pPr>
        <w:pStyle w:val="ListParagraph"/>
        <w:numPr>
          <w:ilvl w:val="0"/>
          <w:numId w:val="1"/>
        </w:numPr>
        <w:spacing w:after="90" w:line="276"/>
      </w:pPr>
      <w:r>
        <w:rPr>
          <w:sz w:val="21"/>
          <w:szCs w:val="21"/>
        </w:rPr>
        <w:t xml:space="preserve">Re-screening scheduling per pack cadence</w:t>
      </w:r>
    </w:p>
    <w:p>
      <w:pPr>
        <w:pStyle w:val="Heading2"/>
        <w:spacing w:after="120" w:before="280"/>
      </w:pPr>
      <w:r>
        <w:rPr>
          <w:b/>
          <w:bCs/>
          <w:color w:val="12766A"/>
          <w:sz w:val="25"/>
          <w:szCs w:val="25"/>
        </w:rPr>
        <w:t xml:space="preserve">1.2 Out of scope</w:t>
      </w:r>
    </w:p>
    <w:p>
      <w:pPr>
        <w:pStyle w:val="ListParagraph"/>
        <w:numPr>
          <w:ilvl w:val="0"/>
          <w:numId w:val="1"/>
        </w:numPr>
        <w:spacing w:after="90" w:line="276"/>
      </w:pPr>
      <w:r>
        <w:rPr>
          <w:sz w:val="21"/>
          <w:szCs w:val="21"/>
        </w:rPr>
        <w:t xml:space="preserve">Regulatory report generation and submission — owned by the Compliance Reporting Service (Document 08), which consumes this service's case data</w:t>
      </w:r>
    </w:p>
    <w:p>
      <w:pPr>
        <w:pStyle w:val="ListParagraph"/>
        <w:numPr>
          <w:ilvl w:val="0"/>
          <w:numId w:val="1"/>
        </w:numPr>
        <w:spacing w:after="90" w:line="276"/>
      </w:pPr>
      <w:r>
        <w:rPr>
          <w:sz w:val="21"/>
          <w:szCs w:val="21"/>
        </w:rPr>
        <w:t xml:space="preserve">The screening vendor integration itself — owned by the Screening Provider Adapter (Document 15)</w:t>
      </w:r>
    </w:p>
    <w:p>
      <w:pPr>
        <w:pStyle w:val="Heading1"/>
        <w:pBdr>
          <w:bottom w:val="single" w:color="0B2447" w:sz="6" w:space="4"/>
        </w:pBdr>
        <w:spacing w:after="160" w:before="360"/>
      </w:pPr>
      <w:r>
        <w:rPr>
          <w:b/>
          <w:bCs/>
          <w:color w:val="0B2447"/>
          <w:sz w:val="30"/>
          <w:szCs w:val="30"/>
        </w:rPr>
        <w:t xml:space="preserve">2. Domain Model</w:t>
      </w:r>
    </w:p>
    <w:p>
      <w:pPr>
        <w:spacing w:after="160" w:line="288"/>
        <w:jc w:val="left"/>
      </w:pPr>
      <w:r>
        <w:rPr>
          <w:sz w:val="21"/>
          <w:szCs w:val="21"/>
        </w:rPr>
        <w:t xml:space="preserve">The core aggregates are the ScreeningRequest (a single check) and the Case (an investigation opened from one or more hits).</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2200"/>
        <w:gridCol w:w="3800"/>
        <w:gridCol w:w="3300"/>
      </w:tblGrid>
      <w:tr>
        <w:trPr>
          <w:tblHeader/>
        </w:trPr>
        <w:tc>
          <w:tcPr>
            <w:tcW w:type="dxa" w:w="2200"/>
            <w:shd w:fill="0B2447" w:val="clear"/>
            <w:tcMar>
              <w:top w:type="dxa" w:w="100"/>
              <w:left w:type="dxa" w:w="120"/>
              <w:bottom w:type="dxa" w:w="100"/>
              <w:right w:type="dxa" w:w="120"/>
            </w:tcMar>
            <w:vAlign w:val="center"/>
          </w:tcPr>
          <w:p>
            <w:pPr>
              <w:spacing w:after="0" w:line="260"/>
            </w:pPr>
            <w:r>
              <w:rPr>
                <w:b/>
                <w:bCs/>
                <w:color w:val="FFFFFF"/>
                <w:sz w:val="19"/>
                <w:szCs w:val="19"/>
              </w:rPr>
              <w:t xml:space="preserve">Entity / Value Object</w:t>
            </w:r>
          </w:p>
        </w:tc>
        <w:tc>
          <w:tcPr>
            <w:tcW w:type="dxa" w:w="3800"/>
            <w:shd w:fill="0B2447" w:val="clear"/>
            <w:tcMar>
              <w:top w:type="dxa" w:w="100"/>
              <w:left w:type="dxa" w:w="120"/>
              <w:bottom w:type="dxa" w:w="100"/>
              <w:right w:type="dxa" w:w="120"/>
            </w:tcMar>
            <w:vAlign w:val="center"/>
          </w:tcPr>
          <w:p>
            <w:pPr>
              <w:spacing w:after="0" w:line="260"/>
            </w:pPr>
            <w:r>
              <w:rPr>
                <w:b/>
                <w:bCs/>
                <w:color w:val="FFFFFF"/>
                <w:sz w:val="19"/>
                <w:szCs w:val="19"/>
              </w:rPr>
              <w:t xml:space="preserve">Description</w:t>
            </w:r>
          </w:p>
        </w:tc>
        <w:tc>
          <w:tcPr>
            <w:tcW w:type="dxa" w:w="3300"/>
            <w:shd w:fill="0B2447" w:val="clear"/>
            <w:tcMar>
              <w:top w:type="dxa" w:w="100"/>
              <w:left w:type="dxa" w:w="120"/>
              <w:bottom w:type="dxa" w:w="100"/>
              <w:right w:type="dxa" w:w="120"/>
            </w:tcMar>
            <w:vAlign w:val="center"/>
          </w:tcPr>
          <w:p>
            <w:pPr>
              <w:spacing w:after="0" w:line="260"/>
            </w:pPr>
            <w:r>
              <w:rPr>
                <w:b/>
                <w:bCs/>
                <w:color w:val="FFFFFF"/>
                <w:sz w:val="19"/>
                <w:szCs w:val="19"/>
              </w:rPr>
              <w:t xml:space="preserve">Key invariants</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ScreeningRequest</w:t>
            </w:r>
          </w:p>
        </w:tc>
        <w:tc>
          <w:tcPr>
            <w:tcW w:type="dxa" w:w="38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One screening check against configured lists</w:t>
            </w:r>
          </w:p>
        </w:tc>
        <w:tc>
          <w:tcPr>
            <w:tcW w:type="dxa" w:w="33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Immutable result once resolved; a re-screen creates a new request</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Case</w:t>
            </w:r>
          </w:p>
        </w:tc>
        <w:tc>
          <w:tcPr>
            <w:tcW w:type="dxa" w:w="38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An investigation opened from a hit or monitoring alert</w:t>
            </w:r>
          </w:p>
        </w:tc>
        <w:tc>
          <w:tcPr>
            <w:tcW w:type="dxa" w:w="33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State machine: Open → Investigating → Escalated/Cleared → Closed; closure requires maker-checker for High severity</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MonitoringRule</w:t>
            </w:r>
          </w:p>
        </w:tc>
        <w:tc>
          <w:tcPr>
            <w:tcW w:type="dxa" w:w="38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 versioned, effective-dated rule from the assigned pack</w:t>
            </w:r>
          </w:p>
        </w:tc>
        <w:tc>
          <w:tcPr>
            <w:tcW w:type="dxa" w:w="33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Never mutated in place; a change publishes a new version</w:t>
            </w:r>
          </w:p>
        </w:tc>
      </w:tr>
    </w:tbl>
    <w:p>
      <w:pPr>
        <w:pStyle w:val="Heading1"/>
        <w:pBdr>
          <w:bottom w:val="single" w:color="0B2447" w:sz="6" w:space="4"/>
        </w:pBdr>
        <w:spacing w:after="160" w:before="360"/>
      </w:pPr>
      <w:r>
        <w:rPr>
          <w:b/>
          <w:bCs/>
          <w:color w:val="0B2447"/>
          <w:sz w:val="30"/>
          <w:szCs w:val="30"/>
        </w:rPr>
        <w:t xml:space="preserve">3. Ports (Interfaces Owned by This Service)</w:t>
      </w:r>
    </w:p>
    <w:p>
      <w:pPr>
        <w:pStyle w:val="Heading2"/>
        <w:spacing w:after="120" w:before="280"/>
      </w:pPr>
      <w:r>
        <w:rPr>
          <w:b/>
          <w:bCs/>
          <w:color w:val="12766A"/>
          <w:sz w:val="25"/>
          <w:szCs w:val="25"/>
        </w:rPr>
        <w:t xml:space="preserve">3.1 Inbound ports (use cases)</w:t>
      </w:r>
    </w:p>
    <w:p>
      <w:pPr>
        <w:pStyle w:val="ListParagraph"/>
        <w:numPr>
          <w:ilvl w:val="0"/>
          <w:numId w:val="1"/>
        </w:numPr>
        <w:spacing w:after="90" w:line="276"/>
      </w:pPr>
      <w:r>
        <w:rPr>
          <w:sz w:val="21"/>
          <w:szCs w:val="21"/>
        </w:rPr>
        <w:t xml:space="preserve">ScreenEntity(tenant, entityRef, listScope) → ScreeningResult</w:t>
      </w:r>
    </w:p>
    <w:p>
      <w:pPr>
        <w:pStyle w:val="ListParagraph"/>
        <w:numPr>
          <w:ilvl w:val="0"/>
          <w:numId w:val="1"/>
        </w:numPr>
        <w:spacing w:after="90" w:line="276"/>
      </w:pPr>
      <w:r>
        <w:rPr>
          <w:sz w:val="21"/>
          <w:szCs w:val="21"/>
        </w:rPr>
        <w:t xml:space="preserve">EvaluateTransaction(tenant, transaction) → MonitoringOutcome</w:t>
      </w:r>
    </w:p>
    <w:p>
      <w:pPr>
        <w:pStyle w:val="ListParagraph"/>
        <w:numPr>
          <w:ilvl w:val="0"/>
          <w:numId w:val="1"/>
        </w:numPr>
        <w:spacing w:after="90" w:line="276"/>
      </w:pPr>
      <w:r>
        <w:rPr>
          <w:sz w:val="21"/>
          <w:szCs w:val="21"/>
        </w:rPr>
        <w:t xml:space="preserve">OpenCase(trigger, entityRef) → CaseId</w:t>
      </w:r>
    </w:p>
    <w:p>
      <w:pPr>
        <w:pStyle w:val="ListParagraph"/>
        <w:numPr>
          <w:ilvl w:val="0"/>
          <w:numId w:val="1"/>
        </w:numPr>
        <w:spacing w:after="90" w:line="276"/>
      </w:pPr>
      <w:r>
        <w:rPr>
          <w:sz w:val="21"/>
          <w:szCs w:val="21"/>
        </w:rPr>
        <w:t xml:space="preserve">DispositionCase(caseId, decision, approver)</w:t>
      </w:r>
    </w:p>
    <w:p>
      <w:pPr>
        <w:pStyle w:val="Heading2"/>
        <w:spacing w:after="120" w:before="280"/>
      </w:pPr>
      <w:r>
        <w:rPr>
          <w:b/>
          <w:bCs/>
          <w:color w:val="12766A"/>
          <w:sz w:val="25"/>
          <w:szCs w:val="25"/>
        </w:rPr>
        <w:t xml:space="preserve">3.2 Outbound ports (dependencies on other capabilities)</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2400"/>
        <w:gridCol w:w="4200"/>
        <w:gridCol w:w="2700"/>
      </w:tblGrid>
      <w:tr>
        <w:trPr>
          <w:tblHeader/>
        </w:trPr>
        <w:tc>
          <w:tcPr>
            <w:tcW w:type="dxa" w:w="2400"/>
            <w:shd w:fill="0B2447" w:val="clear"/>
            <w:tcMar>
              <w:top w:type="dxa" w:w="100"/>
              <w:left w:type="dxa" w:w="120"/>
              <w:bottom w:type="dxa" w:w="100"/>
              <w:right w:type="dxa" w:w="120"/>
            </w:tcMar>
            <w:vAlign w:val="center"/>
          </w:tcPr>
          <w:p>
            <w:pPr>
              <w:spacing w:after="0" w:line="260"/>
            </w:pPr>
            <w:r>
              <w:rPr>
                <w:b/>
                <w:bCs/>
                <w:color w:val="FFFFFF"/>
                <w:sz w:val="19"/>
                <w:szCs w:val="19"/>
              </w:rPr>
              <w:t xml:space="preserve">Port</w:t>
            </w:r>
          </w:p>
        </w:tc>
        <w:tc>
          <w:tcPr>
            <w:tcW w:type="dxa" w:w="4200"/>
            <w:shd w:fill="0B2447" w:val="clear"/>
            <w:tcMar>
              <w:top w:type="dxa" w:w="100"/>
              <w:left w:type="dxa" w:w="120"/>
              <w:bottom w:type="dxa" w:w="100"/>
              <w:right w:type="dxa" w:w="120"/>
            </w:tcMar>
            <w:vAlign w:val="center"/>
          </w:tcPr>
          <w:p>
            <w:pPr>
              <w:spacing w:after="0" w:line="260"/>
            </w:pPr>
            <w:r>
              <w:rPr>
                <w:b/>
                <w:bCs/>
                <w:color w:val="FFFFFF"/>
                <w:sz w:val="19"/>
                <w:szCs w:val="19"/>
              </w:rPr>
              <w:t xml:space="preserve">Purpose</w:t>
            </w:r>
          </w:p>
        </w:tc>
        <w:tc>
          <w:tcPr>
            <w:tcW w:type="dxa" w:w="2700"/>
            <w:shd w:fill="0B2447" w:val="clear"/>
            <w:tcMar>
              <w:top w:type="dxa" w:w="100"/>
              <w:left w:type="dxa" w:w="120"/>
              <w:bottom w:type="dxa" w:w="100"/>
              <w:right w:type="dxa" w:w="120"/>
            </w:tcMar>
            <w:vAlign w:val="center"/>
          </w:tcPr>
          <w:p>
            <w:pPr>
              <w:spacing w:after="0" w:line="260"/>
            </w:pPr>
            <w:r>
              <w:rPr>
                <w:b/>
                <w:bCs/>
                <w:color w:val="FFFFFF"/>
                <w:sz w:val="19"/>
                <w:szCs w:val="19"/>
              </w:rPr>
              <w:t xml:space="preserve">Adapter specification</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ScreeningProviderPort</w:t>
            </w:r>
          </w:p>
        </w:tc>
        <w:tc>
          <w:tcPr>
            <w:tcW w:type="dxa" w:w="4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Sanctions/PEP/adverse-media list checks</w:t>
            </w:r>
          </w:p>
        </w:tc>
        <w:tc>
          <w:tcPr>
            <w:tcW w:type="dxa" w:w="2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Document 15</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RepositoryPort</w:t>
            </w:r>
          </w:p>
        </w:tc>
        <w:tc>
          <w:tcPr>
            <w:tcW w:type="dxa" w:w="4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Persist requests, cases, rule versions</w:t>
            </w:r>
          </w:p>
        </w:tc>
        <w:tc>
          <w:tcPr>
            <w:tcW w:type="dxa" w:w="2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Document 14</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ConfigPort</w:t>
            </w:r>
          </w:p>
        </w:tc>
        <w:tc>
          <w:tcPr>
            <w:tcW w:type="dxa" w:w="4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Read the tenant's assigned compliance pack</w:t>
            </w:r>
          </w:p>
        </w:tc>
        <w:tc>
          <w:tcPr>
            <w:tcW w:type="dxa" w:w="2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Document 12 (Tenant &amp; Control-Plane Service)</w:t>
            </w:r>
          </w:p>
        </w:tc>
      </w:tr>
    </w:tbl>
    <w:p>
      <w:pPr>
        <w:pStyle w:val="Heading1"/>
        <w:pBdr>
          <w:bottom w:val="single" w:color="0B2447" w:sz="6" w:space="4"/>
        </w:pBdr>
        <w:spacing w:after="160" w:before="360"/>
      </w:pPr>
      <w:r>
        <w:rPr>
          <w:b/>
          <w:bCs/>
          <w:color w:val="0B2447"/>
          <w:sz w:val="30"/>
          <w:szCs w:val="30"/>
        </w:rPr>
        <w:t xml:space="preserve">4. API Surface</w:t>
      </w:r>
    </w:p>
    <w:p>
      <w:pPr>
        <w:spacing w:after="160" w:line="288"/>
        <w:jc w:val="left"/>
      </w:pPr>
      <w:r>
        <w:rPr>
          <w:sz w:val="21"/>
          <w:szCs w:val="21"/>
        </w:rPr>
        <w:t xml:space="preserve">All endpoints are versioned under /v1, require an OAuth2 access token carrying the tenant claim, and accept an Idempotency-Key header on mutating calls. Full OpenAPI specification is maintained in the service repository; this table is the contract summary.</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2200"/>
        <w:gridCol w:w="3600"/>
        <w:gridCol w:w="3500"/>
      </w:tblGrid>
      <w:tr>
        <w:trPr>
          <w:tblHeader/>
        </w:trPr>
        <w:tc>
          <w:tcPr>
            <w:tcW w:type="dxa" w:w="2200"/>
            <w:shd w:fill="0B2447" w:val="clear"/>
            <w:tcMar>
              <w:top w:type="dxa" w:w="100"/>
              <w:left w:type="dxa" w:w="120"/>
              <w:bottom w:type="dxa" w:w="100"/>
              <w:right w:type="dxa" w:w="120"/>
            </w:tcMar>
            <w:vAlign w:val="center"/>
          </w:tcPr>
          <w:p>
            <w:pPr>
              <w:spacing w:after="0" w:line="260"/>
            </w:pPr>
            <w:r>
              <w:rPr>
                <w:b/>
                <w:bCs/>
                <w:color w:val="FFFFFF"/>
                <w:sz w:val="19"/>
                <w:szCs w:val="19"/>
              </w:rPr>
              <w:t xml:space="preserve">Method &amp; path</w:t>
            </w:r>
          </w:p>
        </w:tc>
        <w:tc>
          <w:tcPr>
            <w:tcW w:type="dxa" w:w="3600"/>
            <w:shd w:fill="0B2447" w:val="clear"/>
            <w:tcMar>
              <w:top w:type="dxa" w:w="100"/>
              <w:left w:type="dxa" w:w="120"/>
              <w:bottom w:type="dxa" w:w="100"/>
              <w:right w:type="dxa" w:w="120"/>
            </w:tcMar>
            <w:vAlign w:val="center"/>
          </w:tcPr>
          <w:p>
            <w:pPr>
              <w:spacing w:after="0" w:line="260"/>
            </w:pPr>
            <w:r>
              <w:rPr>
                <w:b/>
                <w:bCs/>
                <w:color w:val="FFFFFF"/>
                <w:sz w:val="19"/>
                <w:szCs w:val="19"/>
              </w:rPr>
              <w:t xml:space="preserve">Purpose</w:t>
            </w:r>
          </w:p>
        </w:tc>
        <w:tc>
          <w:tcPr>
            <w:tcW w:type="dxa" w:w="3500"/>
            <w:shd w:fill="0B2447" w:val="clear"/>
            <w:tcMar>
              <w:top w:type="dxa" w:w="100"/>
              <w:left w:type="dxa" w:w="120"/>
              <w:bottom w:type="dxa" w:w="100"/>
              <w:right w:type="dxa" w:w="120"/>
            </w:tcMar>
            <w:vAlign w:val="center"/>
          </w:tcPr>
          <w:p>
            <w:pPr>
              <w:spacing w:after="0" w:line="260"/>
            </w:pPr>
            <w:r>
              <w:rPr>
                <w:b/>
                <w:bCs/>
                <w:color w:val="FFFFFF"/>
                <w:sz w:val="19"/>
                <w:szCs w:val="19"/>
              </w:rPr>
              <w:t xml:space="preserve">Notes</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POST /v1/screening/entities</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Screen a customer/counterparty</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Synchronous; returns hit list and disposition-required flag</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POST /v1/screening/transactions</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Evaluate a transaction against monitoring rules</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Called synchronously in the send-money saga (§9 of the master blueprint)</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GET /v1/cases/{id}</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Retrieve case detail</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Includes full investigation timeline</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POST /v1/cases/{id}/disposition</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Close a case with a decision</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Requires a second-approver token for High-severity cases (maker-checker)</w:t>
            </w:r>
          </w:p>
        </w:tc>
      </w:tr>
    </w:tbl>
    <w:p>
      <w:pPr>
        <w:pStyle w:val="Heading1"/>
        <w:pBdr>
          <w:bottom w:val="single" w:color="0B2447" w:sz="6" w:space="4"/>
        </w:pBdr>
        <w:spacing w:after="160" w:before="360"/>
      </w:pPr>
      <w:r>
        <w:rPr>
          <w:b/>
          <w:bCs/>
          <w:color w:val="0B2447"/>
          <w:sz w:val="30"/>
          <w:szCs w:val="30"/>
        </w:rPr>
        <w:t xml:space="preserve">5. Events</w:t>
      </w:r>
    </w:p>
    <w:p>
      <w:pPr>
        <w:pStyle w:val="Heading2"/>
        <w:spacing w:after="120" w:before="280"/>
      </w:pPr>
      <w:r>
        <w:rPr>
          <w:b/>
          <w:bCs/>
          <w:color w:val="12766A"/>
          <w:sz w:val="25"/>
          <w:szCs w:val="25"/>
        </w:rPr>
        <w:t xml:space="preserve">5.1 Published</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2600"/>
        <w:gridCol w:w="3200"/>
        <w:gridCol w:w="3500"/>
      </w:tblGrid>
      <w:tr>
        <w:trPr>
          <w:tblHeader/>
        </w:trPr>
        <w:tc>
          <w:tcPr>
            <w:tcW w:type="dxa" w:w="2600"/>
            <w:shd w:fill="0B2447" w:val="clear"/>
            <w:tcMar>
              <w:top w:type="dxa" w:w="100"/>
              <w:left w:type="dxa" w:w="120"/>
              <w:bottom w:type="dxa" w:w="100"/>
              <w:right w:type="dxa" w:w="120"/>
            </w:tcMar>
            <w:vAlign w:val="center"/>
          </w:tcPr>
          <w:p>
            <w:pPr>
              <w:spacing w:after="0" w:line="260"/>
            </w:pPr>
            <w:r>
              <w:rPr>
                <w:b/>
                <w:bCs/>
                <w:color w:val="FFFFFF"/>
                <w:sz w:val="19"/>
                <w:szCs w:val="19"/>
              </w:rPr>
              <w:t xml:space="preserve">Topic</w:t>
            </w:r>
          </w:p>
        </w:tc>
        <w:tc>
          <w:tcPr>
            <w:tcW w:type="dxa" w:w="3200"/>
            <w:shd w:fill="0B2447" w:val="clear"/>
            <w:tcMar>
              <w:top w:type="dxa" w:w="100"/>
              <w:left w:type="dxa" w:w="120"/>
              <w:bottom w:type="dxa" w:w="100"/>
              <w:right w:type="dxa" w:w="120"/>
            </w:tcMar>
            <w:vAlign w:val="center"/>
          </w:tcPr>
          <w:p>
            <w:pPr>
              <w:spacing w:after="0" w:line="260"/>
            </w:pPr>
            <w:r>
              <w:rPr>
                <w:b/>
                <w:bCs/>
                <w:color w:val="FFFFFF"/>
                <w:sz w:val="19"/>
                <w:szCs w:val="19"/>
              </w:rPr>
              <w:t xml:space="preserve">Emitted when</w:t>
            </w:r>
          </w:p>
        </w:tc>
        <w:tc>
          <w:tcPr>
            <w:tcW w:type="dxa" w:w="3500"/>
            <w:shd w:fill="0B2447" w:val="clear"/>
            <w:tcMar>
              <w:top w:type="dxa" w:w="100"/>
              <w:left w:type="dxa" w:w="120"/>
              <w:bottom w:type="dxa" w:w="100"/>
              <w:right w:type="dxa" w:w="120"/>
            </w:tcMar>
            <w:vAlign w:val="center"/>
          </w:tcPr>
          <w:p>
            <w:pPr>
              <w:spacing w:after="0" w:line="260"/>
            </w:pPr>
            <w:r>
              <w:rPr>
                <w:b/>
                <w:bCs/>
                <w:color w:val="FFFFFF"/>
                <w:sz w:val="19"/>
                <w:szCs w:val="19"/>
              </w:rPr>
              <w:t xml:space="preserve">Key payload fields</w:t>
            </w:r>
          </w:p>
        </w:tc>
      </w:tr>
      <w:tr>
        <w:tc>
          <w:tcPr>
            <w:tcW w:type="dxa" w:w="2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screening.case.opened.v1</w:t>
            </w:r>
          </w:p>
        </w:tc>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 hit or alert creates a case</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case_id, tenant_id, trigger_type, severity</w:t>
            </w:r>
          </w:p>
        </w:tc>
      </w:tr>
      <w:tr>
        <w:tc>
          <w:tcPr>
            <w:tcW w:type="dxa" w:w="2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screening.case.resolved.v1</w:t>
            </w:r>
          </w:p>
        </w:tc>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 case is closed</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case_id, decision, approver, closed_at</w:t>
            </w:r>
          </w:p>
        </w:tc>
      </w:tr>
      <w:tr>
        <w:tc>
          <w:tcPr>
            <w:tcW w:type="dxa" w:w="2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screening.transaction.flagged.v1</w:t>
            </w:r>
          </w:p>
        </w:tc>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 transaction fails monitoring</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transaction_id, rule_id, severity</w:t>
            </w:r>
          </w:p>
        </w:tc>
      </w:tr>
    </w:tbl>
    <w:p>
      <w:pPr>
        <w:pStyle w:val="Heading2"/>
        <w:spacing w:after="120" w:before="280"/>
      </w:pPr>
      <w:r>
        <w:rPr>
          <w:b/>
          <w:bCs/>
          <w:color w:val="12766A"/>
          <w:sz w:val="25"/>
          <w:szCs w:val="25"/>
        </w:rPr>
        <w:t xml:space="preserve">5.2 Consumed</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3200"/>
        <w:gridCol w:w="6100"/>
      </w:tblGrid>
      <w:tr>
        <w:trPr>
          <w:tblHeader/>
        </w:trPr>
        <w:tc>
          <w:tcPr>
            <w:tcW w:type="dxa" w:w="3200"/>
            <w:shd w:fill="0B2447" w:val="clear"/>
            <w:tcMar>
              <w:top w:type="dxa" w:w="100"/>
              <w:left w:type="dxa" w:w="120"/>
              <w:bottom w:type="dxa" w:w="100"/>
              <w:right w:type="dxa" w:w="120"/>
            </w:tcMar>
            <w:vAlign w:val="center"/>
          </w:tcPr>
          <w:p>
            <w:pPr>
              <w:spacing w:after="0" w:line="260"/>
            </w:pPr>
            <w:r>
              <w:rPr>
                <w:b/>
                <w:bCs/>
                <w:color w:val="FFFFFF"/>
                <w:sz w:val="19"/>
                <w:szCs w:val="19"/>
              </w:rPr>
              <w:t xml:space="preserve">Topic</w:t>
            </w:r>
          </w:p>
        </w:tc>
        <w:tc>
          <w:tcPr>
            <w:tcW w:type="dxa" w:w="6100"/>
            <w:shd w:fill="0B2447" w:val="clear"/>
            <w:tcMar>
              <w:top w:type="dxa" w:w="100"/>
              <w:left w:type="dxa" w:w="120"/>
              <w:bottom w:type="dxa" w:w="100"/>
              <w:right w:type="dxa" w:w="120"/>
            </w:tcMar>
            <w:vAlign w:val="center"/>
          </w:tcPr>
          <w:p>
            <w:pPr>
              <w:spacing w:after="0" w:line="260"/>
            </w:pPr>
            <w:r>
              <w:rPr>
                <w:b/>
                <w:bCs/>
                <w:color w:val="FFFFFF"/>
                <w:sz w:val="19"/>
                <w:szCs w:val="19"/>
              </w:rPr>
              <w:t xml:space="preserve">Reaction</w:t>
            </w:r>
          </w:p>
        </w:tc>
      </w:tr>
      <w:tr>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identity.customer.registered.v1</w:t>
            </w:r>
          </w:p>
        </w:tc>
        <w:tc>
          <w:tcPr>
            <w:tcW w:type="dxa" w:w="61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Triggers initial onboarding screening</w:t>
            </w:r>
          </w:p>
        </w:tc>
      </w:tr>
      <w:tr>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payments.transfer.initiated.v1</w:t>
            </w:r>
          </w:p>
        </w:tc>
        <w:tc>
          <w:tcPr>
            <w:tcW w:type="dxa" w:w="61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Triggers transaction screening in the saga</w:t>
            </w:r>
          </w:p>
        </w:tc>
      </w:tr>
    </w:tbl>
    <w:p>
      <w:pPr>
        <w:pStyle w:val="Heading1"/>
        <w:pBdr>
          <w:bottom w:val="single" w:color="0B2447" w:sz="6" w:space="4"/>
        </w:pBdr>
        <w:spacing w:after="160" w:before="360"/>
      </w:pPr>
      <w:r>
        <w:rPr>
          <w:b/>
          <w:bCs/>
          <w:color w:val="0B2447"/>
          <w:sz w:val="30"/>
          <w:szCs w:val="30"/>
        </w:rPr>
        <w:t xml:space="preserve">6. Data Model (Core Tables)</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2200"/>
        <w:gridCol w:w="3600"/>
        <w:gridCol w:w="3500"/>
      </w:tblGrid>
      <w:tr>
        <w:trPr>
          <w:tblHeader/>
        </w:trPr>
        <w:tc>
          <w:tcPr>
            <w:tcW w:type="dxa" w:w="2200"/>
            <w:shd w:fill="0B2447" w:val="clear"/>
            <w:tcMar>
              <w:top w:type="dxa" w:w="100"/>
              <w:left w:type="dxa" w:w="120"/>
              <w:bottom w:type="dxa" w:w="100"/>
              <w:right w:type="dxa" w:w="120"/>
            </w:tcMar>
            <w:vAlign w:val="center"/>
          </w:tcPr>
          <w:p>
            <w:pPr>
              <w:spacing w:after="0" w:line="260"/>
            </w:pPr>
            <w:r>
              <w:rPr>
                <w:b/>
                <w:bCs/>
                <w:color w:val="FFFFFF"/>
                <w:sz w:val="19"/>
                <w:szCs w:val="19"/>
              </w:rPr>
              <w:t xml:space="preserve">Table</w:t>
            </w:r>
          </w:p>
        </w:tc>
        <w:tc>
          <w:tcPr>
            <w:tcW w:type="dxa" w:w="3600"/>
            <w:shd w:fill="0B2447" w:val="clear"/>
            <w:tcMar>
              <w:top w:type="dxa" w:w="100"/>
              <w:left w:type="dxa" w:w="120"/>
              <w:bottom w:type="dxa" w:w="100"/>
              <w:right w:type="dxa" w:w="120"/>
            </w:tcMar>
            <w:vAlign w:val="center"/>
          </w:tcPr>
          <w:p>
            <w:pPr>
              <w:spacing w:after="0" w:line="260"/>
            </w:pPr>
            <w:r>
              <w:rPr>
                <w:b/>
                <w:bCs/>
                <w:color w:val="FFFFFF"/>
                <w:sz w:val="19"/>
                <w:szCs w:val="19"/>
              </w:rPr>
              <w:t xml:space="preserve">Key columns</w:t>
            </w:r>
          </w:p>
        </w:tc>
        <w:tc>
          <w:tcPr>
            <w:tcW w:type="dxa" w:w="3500"/>
            <w:shd w:fill="0B2447" w:val="clear"/>
            <w:tcMar>
              <w:top w:type="dxa" w:w="100"/>
              <w:left w:type="dxa" w:w="120"/>
              <w:bottom w:type="dxa" w:w="100"/>
              <w:right w:type="dxa" w:w="120"/>
            </w:tcMar>
            <w:vAlign w:val="center"/>
          </w:tcPr>
          <w:p>
            <w:pPr>
              <w:spacing w:after="0" w:line="260"/>
            </w:pPr>
            <w:r>
              <w:rPr>
                <w:b/>
                <w:bCs/>
                <w:color w:val="FFFFFF"/>
                <w:sz w:val="19"/>
                <w:szCs w:val="19"/>
              </w:rPr>
              <w:t xml:space="preserve">Notes</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screening_requests</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id, tenant_id, entity_ref, result, resolved_at</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Partition by tenant_id + month for retention management</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cases</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id, tenant_id, status, severity, assignee, opened_at</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OpenSearch index mirrors this table for investigator search</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monitoring_rules</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id, pack_id, version, definition, effective_from</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definition stored as a versioned decision-table document</w:t>
            </w:r>
          </w:p>
        </w:tc>
      </w:tr>
    </w:tbl>
    <w:tbl>
      <w:tblPr>
        <w:tblW w:type="dxa" w:w="9350"/>
        <w:tblBorders>
          <w:top w:val="single" w:color="12766A" w:sz="4"/>
          <w:left w:val="single" w:color="12766A" w:sz="4"/>
          <w:bottom w:val="single" w:color="12766A" w:sz="4"/>
          <w:right w:val="single" w:color="12766A" w:sz="4"/>
          <w:insideH w:val="single" w:color="12766A" w:sz="4"/>
          <w:insideV w:val="single" w:color="12766A" w:sz="4"/>
        </w:tblBorders>
      </w:tblPr>
      <w:tblGrid>
        <w:gridCol w:w="100"/>
      </w:tblGrid>
      <w:tr>
        <w:tc>
          <w:tcPr>
            <w:tcW w:type="dxa" w:w="9350"/>
            <w:shd w:fill="EAF2F8" w:val="clear"/>
            <w:tcMar>
              <w:top w:type="dxa" w:w="140"/>
              <w:left w:type="dxa" w:w="180"/>
              <w:bottom w:type="dxa" w:w="140"/>
              <w:right w:type="dxa" w:w="180"/>
            </w:tcMar>
          </w:tcPr>
          <w:p>
            <w:pPr>
              <w:spacing w:after="0" w:line="276"/>
            </w:pPr>
            <w:r>
              <w:rPr>
                <w:b/>
                <w:bCs/>
                <w:color w:val="12766A"/>
                <w:sz w:val="21"/>
                <w:szCs w:val="21"/>
              </w:rPr>
              <w:t xml:space="preserve">Tenant isolation.  </w:t>
            </w:r>
            <w:r>
              <w:rPr>
                <w:sz w:val="21"/>
                <w:szCs w:val="21"/>
              </w:rPr>
              <w:t xml:space="preserve">Screening and case data is treated as the most sensitive class on the platform; Enterprise and Standard tiers always use database- or schema-per-tenant isolation for this service regardless of the tenant's general tier, given the regulatory sensitivity of case data.</w:t>
            </w:r>
          </w:p>
        </w:tc>
      </w:tr>
    </w:tbl>
    <w:p>
      <w:pPr>
        <w:pStyle w:val="Heading1"/>
        <w:pBdr>
          <w:bottom w:val="single" w:color="0B2447" w:sz="6" w:space="4"/>
        </w:pBdr>
        <w:spacing w:after="160" w:before="360"/>
      </w:pPr>
      <w:r>
        <w:rPr>
          <w:b/>
          <w:bCs/>
          <w:color w:val="0B2447"/>
          <w:sz w:val="30"/>
          <w:szCs w:val="30"/>
        </w:rPr>
        <w:t xml:space="preserve">7. Configuration and Compliance Interaction</w:t>
      </w:r>
    </w:p>
    <w:p>
      <w:pPr>
        <w:pStyle w:val="ListParagraph"/>
        <w:numPr>
          <w:ilvl w:val="0"/>
          <w:numId w:val="1"/>
        </w:numPr>
        <w:spacing w:after="90" w:line="276"/>
      </w:pPr>
      <w:r>
        <w:rPr>
          <w:sz w:val="21"/>
          <w:szCs w:val="21"/>
        </w:rPr>
        <w:t xml:space="preserve">List scope, match thresholds and re-screening cadence come entirely from the tenant's assigned compliance pack (§7.1 / §14 of the master blueprint).</w:t>
      </w:r>
    </w:p>
    <w:p>
      <w:pPr>
        <w:pStyle w:val="ListParagraph"/>
        <w:numPr>
          <w:ilvl w:val="0"/>
          <w:numId w:val="1"/>
        </w:numPr>
        <w:spacing w:after="90" w:line="276"/>
      </w:pPr>
      <w:r>
        <w:rPr>
          <w:sz w:val="21"/>
          <w:szCs w:val="21"/>
        </w:rPr>
        <w:t xml:space="preserve">Monitoring scenarios and thresholds are versioned rule sets authored by the compliance/AML squad, never embedded in service code.</w:t>
      </w:r>
    </w:p>
    <w:p>
      <w:pPr>
        <w:pStyle w:val="ListParagraph"/>
        <w:numPr>
          <w:ilvl w:val="0"/>
          <w:numId w:val="1"/>
        </w:numPr>
        <w:spacing w:after="90" w:line="276"/>
      </w:pPr>
      <w:r>
        <w:rPr>
          <w:sz w:val="21"/>
          <w:szCs w:val="21"/>
        </w:rPr>
        <w:t xml:space="preserve">Case escalation and maker-checker thresholds are configured per tenant/severity band.</w:t>
      </w:r>
    </w:p>
    <w:p>
      <w:pPr>
        <w:pStyle w:val="Heading1"/>
        <w:pBdr>
          <w:bottom w:val="single" w:color="0B2447" w:sz="6" w:space="4"/>
        </w:pBdr>
        <w:spacing w:after="160" w:before="360"/>
      </w:pPr>
      <w:r>
        <w:rPr>
          <w:b/>
          <w:bCs/>
          <w:color w:val="0B2447"/>
          <w:sz w:val="30"/>
          <w:szCs w:val="30"/>
        </w:rPr>
        <w:t xml:space="preserve">8. Non-Functional Requirements</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3200"/>
        <w:gridCol w:w="6100"/>
      </w:tblGrid>
      <w:tr>
        <w:trPr>
          <w:tblHeader/>
        </w:trPr>
        <w:tc>
          <w:tcPr>
            <w:tcW w:type="dxa" w:w="3200"/>
            <w:shd w:fill="0B2447" w:val="clear"/>
            <w:tcMar>
              <w:top w:type="dxa" w:w="100"/>
              <w:left w:type="dxa" w:w="120"/>
              <w:bottom w:type="dxa" w:w="100"/>
              <w:right w:type="dxa" w:w="120"/>
            </w:tcMar>
            <w:vAlign w:val="center"/>
          </w:tcPr>
          <w:p>
            <w:pPr>
              <w:spacing w:after="0" w:line="260"/>
            </w:pPr>
            <w:r>
              <w:rPr>
                <w:b/>
                <w:bCs/>
                <w:color w:val="FFFFFF"/>
                <w:sz w:val="19"/>
                <w:szCs w:val="19"/>
              </w:rPr>
              <w:t xml:space="preserve">Attribute</w:t>
            </w:r>
          </w:p>
        </w:tc>
        <w:tc>
          <w:tcPr>
            <w:tcW w:type="dxa" w:w="6100"/>
            <w:shd w:fill="0B2447" w:val="clear"/>
            <w:tcMar>
              <w:top w:type="dxa" w:w="100"/>
              <w:left w:type="dxa" w:w="120"/>
              <w:bottom w:type="dxa" w:w="100"/>
              <w:right w:type="dxa" w:w="120"/>
            </w:tcMar>
            <w:vAlign w:val="center"/>
          </w:tcPr>
          <w:p>
            <w:pPr>
              <w:spacing w:after="0" w:line="260"/>
            </w:pPr>
            <w:r>
              <w:rPr>
                <w:b/>
                <w:bCs/>
                <w:color w:val="FFFFFF"/>
                <w:sz w:val="19"/>
                <w:szCs w:val="19"/>
              </w:rPr>
              <w:t xml:space="preserve">Target</w:t>
            </w:r>
          </w:p>
        </w:tc>
      </w:tr>
      <w:tr>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Real-time screening latency</w:t>
            </w:r>
          </w:p>
        </w:tc>
        <w:tc>
          <w:tcPr>
            <w:tcW w:type="dxa" w:w="61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p99 &lt; 700 ms excluding provider round-trip</w:t>
            </w:r>
          </w:p>
        </w:tc>
      </w:tr>
      <w:tr>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False-negative tolerance</w:t>
            </w:r>
          </w:p>
        </w:tc>
        <w:tc>
          <w:tcPr>
            <w:tcW w:type="dxa" w:w="61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Zero — any missed mandatory list is a P1 defect</w:t>
            </w:r>
          </w:p>
        </w:tc>
      </w:tr>
      <w:tr>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Case data retention</w:t>
            </w:r>
          </w:p>
        </w:tc>
        <w:tc>
          <w:tcPr>
            <w:tcW w:type="dxa" w:w="61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Per pack, typically 5–10 years depending on jurisdiction</w:t>
            </w:r>
          </w:p>
        </w:tc>
      </w:tr>
    </w:tbl>
    <w:p>
      <w:pPr>
        <w:pStyle w:val="Heading1"/>
        <w:pBdr>
          <w:bottom w:val="single" w:color="0B2447" w:sz="6" w:space="4"/>
        </w:pBdr>
        <w:spacing w:after="160" w:before="360"/>
      </w:pPr>
      <w:r>
        <w:rPr>
          <w:b/>
          <w:bCs/>
          <w:color w:val="0B2447"/>
          <w:sz w:val="30"/>
          <w:szCs w:val="30"/>
        </w:rPr>
        <w:t xml:space="preserve">9. Dependencies</w:t>
      </w:r>
    </w:p>
    <w:p>
      <w:pPr>
        <w:pStyle w:val="ListParagraph"/>
        <w:numPr>
          <w:ilvl w:val="0"/>
          <w:numId w:val="1"/>
        </w:numPr>
        <w:spacing w:after="90" w:line="276"/>
      </w:pPr>
      <w:r>
        <w:rPr>
          <w:sz w:val="21"/>
          <w:szCs w:val="21"/>
        </w:rPr>
        <w:t xml:space="preserve">Screening Provider Adapter (Document 15)</w:t>
      </w:r>
    </w:p>
    <w:p>
      <w:pPr>
        <w:pStyle w:val="ListParagraph"/>
        <w:numPr>
          <w:ilvl w:val="0"/>
          <w:numId w:val="1"/>
        </w:numPr>
        <w:spacing w:after="90" w:line="276"/>
      </w:pPr>
      <w:r>
        <w:rPr>
          <w:sz w:val="21"/>
          <w:szCs w:val="21"/>
        </w:rPr>
        <w:t xml:space="preserve">Identity Service (Document 02) — onboarding trigger</w:t>
      </w:r>
    </w:p>
    <w:p>
      <w:pPr>
        <w:pStyle w:val="ListParagraph"/>
        <w:numPr>
          <w:ilvl w:val="0"/>
          <w:numId w:val="1"/>
        </w:numPr>
        <w:spacing w:after="90" w:line="276"/>
      </w:pPr>
      <w:r>
        <w:rPr>
          <w:sz w:val="21"/>
          <w:szCs w:val="21"/>
        </w:rPr>
        <w:t xml:space="preserve">Payments Service (Document 05) — transaction trigger</w:t>
      </w:r>
    </w:p>
    <w:p>
      <w:pPr>
        <w:pStyle w:val="ListParagraph"/>
        <w:numPr>
          <w:ilvl w:val="0"/>
          <w:numId w:val="1"/>
        </w:numPr>
        <w:spacing w:after="90" w:line="276"/>
      </w:pPr>
      <w:r>
        <w:rPr>
          <w:sz w:val="21"/>
          <w:szCs w:val="21"/>
        </w:rPr>
        <w:t xml:space="preserve">Compliance Reporting Service (Document 08) — consumes case data for filings</w:t>
      </w:r>
    </w:p>
    <w:p>
      <w:pPr>
        <w:pStyle w:val="Heading1"/>
        <w:pBdr>
          <w:bottom w:val="single" w:color="0B2447" w:sz="6" w:space="4"/>
        </w:pBdr>
        <w:spacing w:after="160" w:before="360"/>
      </w:pPr>
      <w:r>
        <w:rPr>
          <w:b/>
          <w:bCs/>
          <w:color w:val="0B2447"/>
          <w:sz w:val="30"/>
          <w:szCs w:val="30"/>
        </w:rPr>
        <w:t xml:space="preserve">10. Technology Stack for This Service</w:t>
      </w:r>
    </w:p>
    <w:p>
      <w:pPr>
        <w:pStyle w:val="ListParagraph"/>
        <w:numPr>
          <w:ilvl w:val="0"/>
          <w:numId w:val="1"/>
        </w:numPr>
        <w:spacing w:after="90" w:line="276"/>
      </w:pPr>
      <w:r>
        <w:rPr>
          <w:sz w:val="21"/>
          <w:szCs w:val="21"/>
        </w:rPr>
        <w:t xml:space="preserve">Java 21 + Spring Boot 3.3</w:t>
      </w:r>
    </w:p>
    <w:p>
      <w:pPr>
        <w:pStyle w:val="ListParagraph"/>
        <w:numPr>
          <w:ilvl w:val="0"/>
          <w:numId w:val="1"/>
        </w:numPr>
        <w:spacing w:after="90" w:line="276"/>
      </w:pPr>
      <w:r>
        <w:rPr>
          <w:sz w:val="21"/>
          <w:szCs w:val="21"/>
        </w:rPr>
        <w:t xml:space="preserve">PostgreSQL 16 for transactional case/request data</w:t>
      </w:r>
    </w:p>
    <w:p>
      <w:pPr>
        <w:pStyle w:val="ListParagraph"/>
        <w:numPr>
          <w:ilvl w:val="0"/>
          <w:numId w:val="1"/>
        </w:numPr>
        <w:spacing w:after="90" w:line="276"/>
      </w:pPr>
      <w:r>
        <w:rPr>
          <w:sz w:val="21"/>
          <w:szCs w:val="21"/>
        </w:rPr>
        <w:t xml:space="preserve">OpenSearch for investigator case search</w:t>
      </w:r>
    </w:p>
    <w:p>
      <w:pPr>
        <w:pStyle w:val="ListParagraph"/>
        <w:numPr>
          <w:ilvl w:val="0"/>
          <w:numId w:val="1"/>
        </w:numPr>
        <w:spacing w:after="90" w:line="276"/>
      </w:pPr>
      <w:r>
        <w:rPr>
          <w:sz w:val="21"/>
          <w:szCs w:val="21"/>
        </w:rPr>
        <w:t xml:space="preserve">OPA/Rego or an embedded decision-table engine for monitoring rule evaluation</w:t>
      </w:r>
    </w:p>
    <w:p>
      <w:pPr>
        <w:pStyle w:val="Heading1"/>
        <w:pBdr>
          <w:bottom w:val="single" w:color="0B2447" w:sz="6" w:space="4"/>
        </w:pBdr>
        <w:spacing w:after="160" w:before="360"/>
      </w:pPr>
      <w:r>
        <w:rPr>
          <w:b/>
          <w:bCs/>
          <w:color w:val="0B2447"/>
          <w:sz w:val="30"/>
          <w:szCs w:val="30"/>
        </w:rPr>
        <w:t xml:space="preserve">11. Open Questions and Risks</w:t>
      </w:r>
    </w:p>
    <w:p>
      <w:pPr>
        <w:pStyle w:val="ListParagraph"/>
        <w:numPr>
          <w:ilvl w:val="0"/>
          <w:numId w:val="1"/>
        </w:numPr>
        <w:spacing w:after="90" w:line="276"/>
      </w:pPr>
      <w:r>
        <w:rPr>
          <w:sz w:val="21"/>
          <w:szCs w:val="21"/>
        </w:rPr>
        <w:t xml:space="preserve">Rule sprawl across many tenants/packs — mitigated by the pack certification test suite (§19.1 of the master blueprint) run before any pack change is published.</w:t>
      </w:r>
    </w:p>
    <w:p>
      <w:pPr>
        <w:pStyle w:val="ListParagraph"/>
        <w:numPr>
          <w:ilvl w:val="0"/>
          <w:numId w:val="1"/>
        </w:numPr>
        <w:spacing w:after="90" w:line="276"/>
      </w:pPr>
      <w:r>
        <w:rPr>
          <w:sz w:val="21"/>
          <w:szCs w:val="21"/>
        </w:rPr>
        <w:t xml:space="preserve">Screening-provider latency spikes blocking the payment saga — mitigated by a circuit breaker with a documented fail-safe (hold-and-queue, never fail-open) per Document 15.</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D6D7E"/>
        <w:sz w:val="16"/>
        <w:szCs w:val="16"/>
      </w:rPr>
      <w:t xml:space="preserve">Confidential — Internal Use   ·   Page </w:t>
    </w:r>
    <w:r>
      <w:rPr>
        <w:color w:val="5D6D7E"/>
        <w:sz w:val="16"/>
        <w:szCs w:val="16"/>
      </w:rPr>
      <w:fldChar w:fldCharType="begin"/>
      <w:instrText xml:space="preserve">PAGE</w:instrText>
      <w:fldChar w:fldCharType="separate"/>
      <w:fldChar w:fldCharType="end"/>
    </w:r>
    <w:r>
      <w:rPr>
        <w:color w:val="5D6D7E"/>
        <w:sz w:val="16"/>
        <w:szCs w:val="16"/>
      </w:rPr>
      <w:t xml:space="preserve"> of </w:t>
    </w:r>
    <w:r>
      <w:rPr>
        <w:color w:val="5D6D7E"/>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5D6D7E"/>
        <w:sz w:val="16"/>
        <w:szCs w:val="16"/>
      </w:rPr>
      <w:t xml:space="preserve">Document 03 — Screening &amp; AML Service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2026-07-06T12:24:04.927Z</dcterms:created>
  <dcterms:modified xsi:type="dcterms:W3CDTF">2026-07-06T12:24:04.927Z</dcterms:modified>
</cp:coreProperties>
</file>

<file path=docProps/custom.xml><?xml version="1.0" encoding="utf-8"?>
<Properties xmlns="http://schemas.openxmlformats.org/officeDocument/2006/custom-properties" xmlns:vt="http://schemas.openxmlformats.org/officeDocument/2006/docPropsVTypes"/>
</file>