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400"/>
        <w:jc w:val="center"/>
      </w:pPr>
      <w:r>
        <w:rPr>
          <w:b/>
          <w:bCs/>
          <w:color w:val="12766A"/>
          <w:sz w:val="22"/>
          <w:szCs w:val="22"/>
        </w:rPr>
        <w:t xml:space="preserve">SERVICE SPECIFICATION · DOCUMENT 05</w:t>
      </w:r>
    </w:p>
    <w:p>
      <w:pPr>
        <w:spacing w:after="120" w:before="120"/>
        <w:jc w:val="center"/>
      </w:pPr>
      <w:r>
        <w:rPr>
          <w:b/>
          <w:bCs/>
          <w:color w:val="0B2447"/>
          <w:sz w:val="44"/>
          <w:szCs w:val="44"/>
        </w:rPr>
        <w:t xml:space="preserve">Payments &amp; Remittance Service</w:t>
      </w:r>
    </w:p>
    <w:p>
      <w:pPr>
        <w:spacing w:after="200"/>
        <w:jc w:val="center"/>
      </w:pPr>
      <w:r>
        <w:rPr>
          <w:b/>
          <w:bCs/>
          <w:color w:val="12766A"/>
          <w:sz w:val="26"/>
          <w:szCs w:val="26"/>
        </w:rPr>
        <w:t xml:space="preserve">Send-money orchestration, payout-rail adapters, status lifecycle</w:t>
      </w:r>
    </w:p>
    <w:p>
      <w:pPr>
        <w:spacing w:after="300"/>
        <w:jc w:val="center"/>
      </w:pPr>
      <w:r>
        <w:rPr>
          <w:i/>
          <w:iCs/>
          <w:color w:val="5D6D7E"/>
          <w:sz w:val="21"/>
          <w:szCs w:val="21"/>
        </w:rPr>
        <w:t xml:space="preserve">Orchestrates the send-money saga end-to-end: quote, screen, hold, payout, confirm — with explicit compensation on failure at any step.</w:t>
      </w:r>
    </w:p>
    <w:p>
      <w:pPr>
        <w:pBdr>
          <w:bottom w:val="single" w:color="B9770E" w:sz="12" w:space="8"/>
        </w:pBdr>
        <w:spacing w:after="300"/>
      </w:pPr>
    </w:p>
    <w:tbl>
      <w:tblPr>
        <w:tblW w:type="dxa" w:w="9350"/>
        <w:tblBorders>
          <w:top w:val="single" w:color="AAB7B8" w:sz="4"/>
          <w:left w:val="single" w:color="AAB7B8" w:sz="4"/>
          <w:bottom w:val="single" w:color="AAB7B8" w:sz="4"/>
          <w:right w:val="single" w:color="AAB7B8" w:sz="4"/>
          <w:insideH w:val="single" w:color="AAB7B8" w:sz="4"/>
          <w:insideV w:val="single" w:color="AAB7B8" w:sz="4"/>
        </w:tblBorders>
      </w:tblPr>
      <w:tblGrid>
        <w:gridCol w:w="2400"/>
        <w:gridCol w:w="6950"/>
      </w:tblGrid>
      <w:tr>
        <w:trPr>
          <w:tblHeader/>
        </w:trPr>
        <w:tc>
          <w:tcPr>
            <w:tcW w:type="dxa" w:w="2400"/>
            <w:shd w:fill="0B2447" w:val="clear"/>
            <w:tcMar>
              <w:top w:type="dxa" w:w="100"/>
              <w:left w:type="dxa" w:w="120"/>
              <w:bottom w:type="dxa" w:w="100"/>
              <w:right w:type="dxa" w:w="120"/>
            </w:tcMar>
            <w:vAlign w:val="center"/>
          </w:tcPr>
          <w:p>
            <w:pPr>
              <w:spacing w:after="0" w:line="260"/>
            </w:pPr>
            <w:r>
              <w:rPr>
                <w:b/>
                <w:bCs/>
                <w:color w:val="FFFFFF"/>
                <w:sz w:val="19"/>
                <w:szCs w:val="19"/>
              </w:rPr>
              <w:t xml:space="preserve">Field</w:t>
            </w:r>
          </w:p>
        </w:tc>
        <w:tc>
          <w:tcPr>
            <w:tcW w:type="dxa" w:w="6950"/>
            <w:shd w:fill="0B2447" w:val="clear"/>
            <w:tcMar>
              <w:top w:type="dxa" w:w="100"/>
              <w:left w:type="dxa" w:w="120"/>
              <w:bottom w:type="dxa" w:w="100"/>
              <w:right w:type="dxa" w:w="120"/>
            </w:tcMar>
            <w:vAlign w:val="center"/>
          </w:tcPr>
          <w:p>
            <w:pPr>
              <w:spacing w:after="0" w:line="260"/>
            </w:pPr>
            <w:r>
              <w:rPr>
                <w:b/>
                <w:bCs/>
                <w:color w:val="FFFFFF"/>
                <w:sz w:val="19"/>
                <w:szCs w:val="19"/>
              </w:rPr>
              <w:t xml:space="preserve">Details</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title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Payments &amp; Remittance Service — Service Specification</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Part of</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Product Architecture Blueprint v3.0 — Multi-Tenant, Plug-and-Play Digital Banking &amp; Remittance Platform</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Owning squad</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Payments &amp; Remittance</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Sellable standalone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Yes</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Primary stack</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Java 21 + Spring Boot 3.3, PostgreSQL, Kafka</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Version</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3.0 — Build-Ready Baseline</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Date</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2 July 2026</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Classification</w:t>
            </w:r>
          </w:p>
        </w:tc>
        <w:tc>
          <w:tcPr>
            <w:tcW w:type="dxa" w:w="695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Confidential — Internal Use</w:t>
            </w:r>
          </w:p>
        </w:tc>
      </w:tr>
    </w:tbl>
    <w:p>
      <w:r>
        <w:br w:type="page"/>
      </w:r>
    </w:p>
    <w:p>
      <w:pPr>
        <w:pStyle w:val="Heading1"/>
        <w:pBdr>
          <w:bottom w:val="single" w:color="0B2447" w:sz="6" w:space="4"/>
        </w:pBdr>
        <w:spacing w:after="160" w:before="360"/>
      </w:pPr>
      <w:r>
        <w:rPr>
          <w:b/>
          <w:bCs/>
          <w:color w:val="0B2447"/>
          <w:sz w:val="30"/>
          <w:szCs w:val="30"/>
        </w:rPr>
        <w:t xml:space="preserve">1. Purpose and Scope</w:t>
      </w:r>
    </w:p>
    <w:p>
      <w:pPr>
        <w:spacing w:after="160" w:line="288"/>
        <w:jc w:val="left"/>
      </w:pPr>
      <w:r>
        <w:rPr>
          <w:sz w:val="21"/>
          <w:szCs w:val="21"/>
        </w:rPr>
        <w:t xml:space="preserve">Coordinates a cross-border or domestic money transfer from initiation to settlement, calling Pricing, Screening, Ledger and the payout-rail adapters in a saga, and exposing the transaction status lifecycle to tenants and their customers. Launch corridors: UAE→Pakistan and KSA→Pakistan remittance (the primary use case, reflecting the large Pakistani diaspora workforce in both Gulf markets), the reverse corridors, and domestic transfers within each of the three markets via Raast (PK), Aani (AE) and sarie (SA) respectively (Document 19).</w:t>
      </w:r>
    </w:p>
    <w:p>
      <w:pPr>
        <w:pStyle w:val="Heading2"/>
        <w:spacing w:after="120" w:before="280"/>
      </w:pPr>
      <w:r>
        <w:rPr>
          <w:b/>
          <w:bCs/>
          <w:color w:val="12766A"/>
          <w:sz w:val="25"/>
          <w:szCs w:val="25"/>
        </w:rPr>
        <w:t xml:space="preserve">1.1 In scope</w:t>
      </w:r>
    </w:p>
    <w:p>
      <w:pPr>
        <w:pStyle w:val="ListParagraph"/>
        <w:numPr>
          <w:ilvl w:val="0"/>
          <w:numId w:val="1"/>
        </w:numPr>
        <w:spacing w:after="90" w:line="276"/>
      </w:pPr>
      <w:r>
        <w:rPr>
          <w:sz w:val="21"/>
          <w:szCs w:val="21"/>
        </w:rPr>
        <w:t xml:space="preserve">Send-money saga orchestration (§9.2 of the master blueprint)</w:t>
      </w:r>
    </w:p>
    <w:p>
      <w:pPr>
        <w:pStyle w:val="ListParagraph"/>
        <w:numPr>
          <w:ilvl w:val="0"/>
          <w:numId w:val="1"/>
        </w:numPr>
        <w:spacing w:after="90" w:line="276"/>
      </w:pPr>
      <w:r>
        <w:rPr>
          <w:sz w:val="21"/>
          <w:szCs w:val="21"/>
        </w:rPr>
        <w:t xml:space="preserve">Transaction status lifecycle and customer-facing status API</w:t>
      </w:r>
    </w:p>
    <w:p>
      <w:pPr>
        <w:pStyle w:val="ListParagraph"/>
        <w:numPr>
          <w:ilvl w:val="0"/>
          <w:numId w:val="1"/>
        </w:numPr>
        <w:spacing w:after="90" w:line="276"/>
      </w:pPr>
      <w:r>
        <w:rPr>
          <w:sz w:val="21"/>
          <w:szCs w:val="21"/>
        </w:rPr>
        <w:t xml:space="preserve">Beneficiary management</w:t>
      </w:r>
    </w:p>
    <w:p>
      <w:pPr>
        <w:pStyle w:val="ListParagraph"/>
        <w:numPr>
          <w:ilvl w:val="0"/>
          <w:numId w:val="1"/>
        </w:numPr>
        <w:spacing w:after="90" w:line="276"/>
      </w:pPr>
      <w:r>
        <w:rPr>
          <w:sz w:val="21"/>
          <w:szCs w:val="21"/>
        </w:rPr>
        <w:t xml:space="preserve">Corridor configuration (which rail/adapter serves which source→destination pair)</w:t>
      </w:r>
    </w:p>
    <w:p>
      <w:pPr>
        <w:pStyle w:val="Heading2"/>
        <w:spacing w:after="120" w:before="280"/>
      </w:pPr>
      <w:r>
        <w:rPr>
          <w:b/>
          <w:bCs/>
          <w:color w:val="12766A"/>
          <w:sz w:val="25"/>
          <w:szCs w:val="25"/>
        </w:rPr>
        <w:t xml:space="preserve">1.2 Out of scope</w:t>
      </w:r>
    </w:p>
    <w:p>
      <w:pPr>
        <w:pStyle w:val="ListParagraph"/>
        <w:numPr>
          <w:ilvl w:val="0"/>
          <w:numId w:val="1"/>
        </w:numPr>
        <w:spacing w:after="90" w:line="276"/>
      </w:pPr>
      <w:r>
        <w:rPr>
          <w:sz w:val="21"/>
          <w:szCs w:val="21"/>
        </w:rPr>
        <w:t xml:space="preserve">Holding balances — delegated to Ledger (Document 04)</w:t>
      </w:r>
    </w:p>
    <w:p>
      <w:pPr>
        <w:pStyle w:val="ListParagraph"/>
        <w:numPr>
          <w:ilvl w:val="0"/>
          <w:numId w:val="1"/>
        </w:numPr>
        <w:spacing w:after="90" w:line="276"/>
      </w:pPr>
      <w:r>
        <w:rPr>
          <w:sz w:val="21"/>
          <w:szCs w:val="21"/>
        </w:rPr>
        <w:t xml:space="preserve">The rail integration itself — owned by the Payout Rail Adapter (Document 19) and Core Banking Host Adapter (Document 18)</w:t>
      </w:r>
    </w:p>
    <w:p>
      <w:pPr>
        <w:pStyle w:val="ListParagraph"/>
        <w:numPr>
          <w:ilvl w:val="0"/>
          <w:numId w:val="1"/>
        </w:numPr>
        <w:spacing w:after="90" w:line="276"/>
      </w:pPr>
      <w:r>
        <w:rPr>
          <w:sz w:val="21"/>
          <w:szCs w:val="21"/>
        </w:rPr>
        <w:t xml:space="preserve">Fee computation — delegated to Pricing (Document 10)</w:t>
      </w:r>
    </w:p>
    <w:p>
      <w:pPr>
        <w:pStyle w:val="Heading1"/>
        <w:pBdr>
          <w:bottom w:val="single" w:color="0B2447" w:sz="6" w:space="4"/>
        </w:pBdr>
        <w:spacing w:after="160" w:before="360"/>
      </w:pPr>
      <w:r>
        <w:rPr>
          <w:b/>
          <w:bCs/>
          <w:color w:val="0B2447"/>
          <w:sz w:val="30"/>
          <w:szCs w:val="30"/>
        </w:rPr>
        <w:t xml:space="preserve">2. Domain Model</w:t>
      </w:r>
    </w:p>
    <w:p>
      <w:pPr>
        <w:spacing w:after="160" w:line="288"/>
        <w:jc w:val="left"/>
      </w:pPr>
      <w:r>
        <w:rPr>
          <w:sz w:val="21"/>
          <w:szCs w:val="21"/>
        </w:rPr>
        <w:t xml:space="preserve">The core aggregate is the Transfer, which owns a saga state machine spanning quote through settlement.</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200"/>
        <w:gridCol w:w="3800"/>
        <w:gridCol w:w="3300"/>
      </w:tblGrid>
      <w:tr>
        <w:trPr>
          <w:tblHeader/>
        </w:trPr>
        <w:tc>
          <w:tcPr>
            <w:tcW w:type="dxa" w:w="2200"/>
            <w:shd w:fill="0B2447" w:val="clear"/>
            <w:tcMar>
              <w:top w:type="dxa" w:w="100"/>
              <w:left w:type="dxa" w:w="120"/>
              <w:bottom w:type="dxa" w:w="100"/>
              <w:right w:type="dxa" w:w="120"/>
            </w:tcMar>
            <w:vAlign w:val="center"/>
          </w:tcPr>
          <w:p>
            <w:pPr>
              <w:spacing w:after="0" w:line="260"/>
            </w:pPr>
            <w:r>
              <w:rPr>
                <w:b/>
                <w:bCs/>
                <w:color w:val="FFFFFF"/>
                <w:sz w:val="19"/>
                <w:szCs w:val="19"/>
              </w:rPr>
              <w:t xml:space="preserve">Entity / Value Object</w:t>
            </w:r>
          </w:p>
        </w:tc>
        <w:tc>
          <w:tcPr>
            <w:tcW w:type="dxa" w:w="3800"/>
            <w:shd w:fill="0B2447" w:val="clear"/>
            <w:tcMar>
              <w:top w:type="dxa" w:w="100"/>
              <w:left w:type="dxa" w:w="120"/>
              <w:bottom w:type="dxa" w:w="100"/>
              <w:right w:type="dxa" w:w="120"/>
            </w:tcMar>
            <w:vAlign w:val="center"/>
          </w:tcPr>
          <w:p>
            <w:pPr>
              <w:spacing w:after="0" w:line="260"/>
            </w:pPr>
            <w:r>
              <w:rPr>
                <w:b/>
                <w:bCs/>
                <w:color w:val="FFFFFF"/>
                <w:sz w:val="19"/>
                <w:szCs w:val="19"/>
              </w:rPr>
              <w:t xml:space="preserve">Description</w:t>
            </w:r>
          </w:p>
        </w:tc>
        <w:tc>
          <w:tcPr>
            <w:tcW w:type="dxa" w:w="3300"/>
            <w:shd w:fill="0B2447" w:val="clear"/>
            <w:tcMar>
              <w:top w:type="dxa" w:w="100"/>
              <w:left w:type="dxa" w:w="120"/>
              <w:bottom w:type="dxa" w:w="100"/>
              <w:right w:type="dxa" w:w="120"/>
            </w:tcMar>
            <w:vAlign w:val="center"/>
          </w:tcPr>
          <w:p>
            <w:pPr>
              <w:spacing w:after="0" w:line="260"/>
            </w:pPr>
            <w:r>
              <w:rPr>
                <w:b/>
                <w:bCs/>
                <w:color w:val="FFFFFF"/>
                <w:sz w:val="19"/>
                <w:szCs w:val="19"/>
              </w:rPr>
              <w:t xml:space="preserve">Key invariants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Transfer</w:t>
            </w:r>
          </w:p>
        </w:tc>
        <w:tc>
          <w:tcPr>
            <w:tcW w:type="dxa" w:w="38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One send-money instruction from initiation to terminal state</w:t>
            </w:r>
          </w:p>
        </w:tc>
        <w:tc>
          <w:tcPr>
            <w:tcW w:type="dxa" w:w="3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State machine enforced; compensations are explicit steps, not exceptions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Beneficiary</w:t>
            </w:r>
          </w:p>
        </w:tc>
        <w:tc>
          <w:tcPr>
            <w:tcW w:type="dxa" w:w="38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 registered payee for a sender</w:t>
            </w:r>
          </w:p>
        </w:tc>
        <w:tc>
          <w:tcPr>
            <w:tcW w:type="dxa" w:w="3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Verified per corridor rules before first payout</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Corridor</w:t>
            </w:r>
          </w:p>
        </w:tc>
        <w:tc>
          <w:tcPr>
            <w:tcW w:type="dxa" w:w="38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 configured source→destination pairing with its bound rail adapter</w:t>
            </w:r>
          </w:p>
        </w:tc>
        <w:tc>
          <w:tcPr>
            <w:tcW w:type="dxa" w:w="33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Corridor config resolved via the same hierarchy as other configuration (§6 of the master blueprint)</w:t>
            </w:r>
          </w:p>
        </w:tc>
      </w:tr>
    </w:tbl>
    <w:p>
      <w:pPr>
        <w:pStyle w:val="Heading1"/>
        <w:pBdr>
          <w:bottom w:val="single" w:color="0B2447" w:sz="6" w:space="4"/>
        </w:pBdr>
        <w:spacing w:after="160" w:before="360"/>
      </w:pPr>
      <w:r>
        <w:rPr>
          <w:b/>
          <w:bCs/>
          <w:color w:val="0B2447"/>
          <w:sz w:val="30"/>
          <w:szCs w:val="30"/>
        </w:rPr>
        <w:t xml:space="preserve">3. Ports (Interfaces Owned by This Service)</w:t>
      </w:r>
    </w:p>
    <w:p>
      <w:pPr>
        <w:pStyle w:val="Heading2"/>
        <w:spacing w:after="120" w:before="280"/>
      </w:pPr>
      <w:r>
        <w:rPr>
          <w:b/>
          <w:bCs/>
          <w:color w:val="12766A"/>
          <w:sz w:val="25"/>
          <w:szCs w:val="25"/>
        </w:rPr>
        <w:t xml:space="preserve">3.1 Inbound ports (use cases)</w:t>
      </w:r>
    </w:p>
    <w:p>
      <w:pPr>
        <w:pStyle w:val="ListParagraph"/>
        <w:numPr>
          <w:ilvl w:val="0"/>
          <w:numId w:val="1"/>
        </w:numPr>
        <w:spacing w:after="90" w:line="276"/>
      </w:pPr>
      <w:r>
        <w:rPr>
          <w:sz w:val="21"/>
          <w:szCs w:val="21"/>
        </w:rPr>
        <w:t xml:space="preserve">InitiateTransfer(tenant, sender, beneficiary, amount, corridor) → TransferId</w:t>
      </w:r>
    </w:p>
    <w:p>
      <w:pPr>
        <w:pStyle w:val="ListParagraph"/>
        <w:numPr>
          <w:ilvl w:val="0"/>
          <w:numId w:val="1"/>
        </w:numPr>
        <w:spacing w:after="90" w:line="276"/>
      </w:pPr>
      <w:r>
        <w:rPr>
          <w:sz w:val="21"/>
          <w:szCs w:val="21"/>
        </w:rPr>
        <w:t xml:space="preserve">GetTransferStatus(transferId) → Status</w:t>
      </w:r>
    </w:p>
    <w:p>
      <w:pPr>
        <w:pStyle w:val="ListParagraph"/>
        <w:numPr>
          <w:ilvl w:val="0"/>
          <w:numId w:val="1"/>
        </w:numPr>
        <w:spacing w:after="90" w:line="276"/>
      </w:pPr>
      <w:r>
        <w:rPr>
          <w:sz w:val="21"/>
          <w:szCs w:val="21"/>
        </w:rPr>
        <w:t xml:space="preserve">CancelTransfer(transferId) — only while cancellable</w:t>
      </w:r>
    </w:p>
    <w:p>
      <w:pPr>
        <w:pStyle w:val="ListParagraph"/>
        <w:numPr>
          <w:ilvl w:val="0"/>
          <w:numId w:val="1"/>
        </w:numPr>
        <w:spacing w:after="90" w:line="276"/>
      </w:pPr>
      <w:r>
        <w:rPr>
          <w:sz w:val="21"/>
          <w:szCs w:val="21"/>
        </w:rPr>
        <w:t xml:space="preserve">RegisterBeneficiary(customerId, beneficiaryDetails) → BeneficiaryId</w:t>
      </w:r>
    </w:p>
    <w:p>
      <w:pPr>
        <w:pStyle w:val="Heading2"/>
        <w:spacing w:after="120" w:before="280"/>
      </w:pPr>
      <w:r>
        <w:rPr>
          <w:b/>
          <w:bCs/>
          <w:color w:val="12766A"/>
          <w:sz w:val="25"/>
          <w:szCs w:val="25"/>
        </w:rPr>
        <w:t xml:space="preserve">3.2 Outbound ports (dependencies on other capabilities)</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400"/>
        <w:gridCol w:w="4200"/>
        <w:gridCol w:w="2700"/>
      </w:tblGrid>
      <w:tr>
        <w:trPr>
          <w:tblHeader/>
        </w:trPr>
        <w:tc>
          <w:tcPr>
            <w:tcW w:type="dxa" w:w="2400"/>
            <w:shd w:fill="0B2447" w:val="clear"/>
            <w:tcMar>
              <w:top w:type="dxa" w:w="100"/>
              <w:left w:type="dxa" w:w="120"/>
              <w:bottom w:type="dxa" w:w="100"/>
              <w:right w:type="dxa" w:w="120"/>
            </w:tcMar>
            <w:vAlign w:val="center"/>
          </w:tcPr>
          <w:p>
            <w:pPr>
              <w:spacing w:after="0" w:line="260"/>
            </w:pPr>
            <w:r>
              <w:rPr>
                <w:b/>
                <w:bCs/>
                <w:color w:val="FFFFFF"/>
                <w:sz w:val="19"/>
                <w:szCs w:val="19"/>
              </w:rPr>
              <w:t xml:space="preserve">Port</w:t>
            </w:r>
          </w:p>
        </w:tc>
        <w:tc>
          <w:tcPr>
            <w:tcW w:type="dxa" w:w="4200"/>
            <w:shd w:fill="0B2447" w:val="clear"/>
            <w:tcMar>
              <w:top w:type="dxa" w:w="100"/>
              <w:left w:type="dxa" w:w="120"/>
              <w:bottom w:type="dxa" w:w="100"/>
              <w:right w:type="dxa" w:w="120"/>
            </w:tcMar>
            <w:vAlign w:val="center"/>
          </w:tcPr>
          <w:p>
            <w:pPr>
              <w:spacing w:after="0" w:line="260"/>
            </w:pPr>
            <w:r>
              <w:rPr>
                <w:b/>
                <w:bCs/>
                <w:color w:val="FFFFFF"/>
                <w:sz w:val="19"/>
                <w:szCs w:val="19"/>
              </w:rPr>
              <w:t xml:space="preserve">Purpose</w:t>
            </w:r>
          </w:p>
        </w:tc>
        <w:tc>
          <w:tcPr>
            <w:tcW w:type="dxa" w:w="2700"/>
            <w:shd w:fill="0B2447" w:val="clear"/>
            <w:tcMar>
              <w:top w:type="dxa" w:w="100"/>
              <w:left w:type="dxa" w:w="120"/>
              <w:bottom w:type="dxa" w:w="100"/>
              <w:right w:type="dxa" w:w="120"/>
            </w:tcMar>
            <w:vAlign w:val="center"/>
          </w:tcPr>
          <w:p>
            <w:pPr>
              <w:spacing w:after="0" w:line="260"/>
            </w:pPr>
            <w:r>
              <w:rPr>
                <w:b/>
                <w:bCs/>
                <w:color w:val="FFFFFF"/>
                <w:sz w:val="19"/>
                <w:szCs w:val="19"/>
              </w:rPr>
              <w:t xml:space="preserve">Adapter specification</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PricingPort</w:t>
            </w:r>
          </w:p>
        </w:tc>
        <w:tc>
          <w:tcPr>
            <w:tcW w:type="dxa" w:w="4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Obtain a deterministic quote before committing</w:t>
            </w:r>
          </w:p>
        </w:tc>
        <w:tc>
          <w:tcPr>
            <w:tcW w:type="dxa" w:w="2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10</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ScreeningPort</w:t>
            </w:r>
          </w:p>
        </w:tc>
        <w:tc>
          <w:tcPr>
            <w:tcW w:type="dxa" w:w="4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 the transaction before payout</w:t>
            </w:r>
          </w:p>
        </w:tc>
        <w:tc>
          <w:tcPr>
            <w:tcW w:type="dxa" w:w="2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03 / 15</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LedgerPort</w:t>
            </w:r>
          </w:p>
        </w:tc>
        <w:tc>
          <w:tcPr>
            <w:tcW w:type="dxa" w:w="4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Hold, capture, release, post</w:t>
            </w:r>
          </w:p>
        </w:tc>
        <w:tc>
          <w:tcPr>
            <w:tcW w:type="dxa" w:w="2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04</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PayoutPort</w:t>
            </w:r>
          </w:p>
        </w:tc>
        <w:tc>
          <w:tcPr>
            <w:tcW w:type="dxa" w:w="4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Execute the payout via the bound rail adapter</w:t>
            </w:r>
          </w:p>
        </w:tc>
        <w:tc>
          <w:tcPr>
            <w:tcW w:type="dxa" w:w="2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19</w:t>
            </w:r>
          </w:p>
        </w:tc>
      </w:tr>
      <w:tr>
        <w:tc>
          <w:tcPr>
            <w:tcW w:type="dxa" w:w="24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CoreBankingPort</w:t>
            </w:r>
          </w:p>
        </w:tc>
        <w:tc>
          <w:tcPr>
            <w:tcW w:type="dxa" w:w="4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Where a tenant routes through a core-banking host</w:t>
            </w:r>
          </w:p>
        </w:tc>
        <w:tc>
          <w:tcPr>
            <w:tcW w:type="dxa" w:w="27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Document 18</w:t>
            </w:r>
          </w:p>
        </w:tc>
      </w:tr>
    </w:tbl>
    <w:p>
      <w:pPr>
        <w:pStyle w:val="Heading1"/>
        <w:pBdr>
          <w:bottom w:val="single" w:color="0B2447" w:sz="6" w:space="4"/>
        </w:pBdr>
        <w:spacing w:after="160" w:before="360"/>
      </w:pPr>
      <w:r>
        <w:rPr>
          <w:b/>
          <w:bCs/>
          <w:color w:val="0B2447"/>
          <w:sz w:val="30"/>
          <w:szCs w:val="30"/>
        </w:rPr>
        <w:t xml:space="preserve">4. API Surface</w:t>
      </w:r>
    </w:p>
    <w:p>
      <w:pPr>
        <w:spacing w:after="160" w:line="288"/>
        <w:jc w:val="left"/>
      </w:pPr>
      <w:r>
        <w:rPr>
          <w:sz w:val="21"/>
          <w:szCs w:val="21"/>
        </w:rPr>
        <w:t xml:space="preserve">All endpoints are versioned under /v1, require an OAuth2 access token carrying the tenant claim, and accept an Idempotency-Key header on mutating calls. Full OpenAPI specification is maintained in the service repository; this table is the contract summary.</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200"/>
        <w:gridCol w:w="3600"/>
        <w:gridCol w:w="3500"/>
      </w:tblGrid>
      <w:tr>
        <w:trPr>
          <w:tblHeader/>
        </w:trPr>
        <w:tc>
          <w:tcPr>
            <w:tcW w:type="dxa" w:w="2200"/>
            <w:shd w:fill="0B2447" w:val="clear"/>
            <w:tcMar>
              <w:top w:type="dxa" w:w="100"/>
              <w:left w:type="dxa" w:w="120"/>
              <w:bottom w:type="dxa" w:w="100"/>
              <w:right w:type="dxa" w:w="120"/>
            </w:tcMar>
            <w:vAlign w:val="center"/>
          </w:tcPr>
          <w:p>
            <w:pPr>
              <w:spacing w:after="0" w:line="260"/>
            </w:pPr>
            <w:r>
              <w:rPr>
                <w:b/>
                <w:bCs/>
                <w:color w:val="FFFFFF"/>
                <w:sz w:val="19"/>
                <w:szCs w:val="19"/>
              </w:rPr>
              <w:t xml:space="preserve">Method &amp; path</w:t>
            </w:r>
          </w:p>
        </w:tc>
        <w:tc>
          <w:tcPr>
            <w:tcW w:type="dxa" w:w="3600"/>
            <w:shd w:fill="0B2447" w:val="clear"/>
            <w:tcMar>
              <w:top w:type="dxa" w:w="100"/>
              <w:left w:type="dxa" w:w="120"/>
              <w:bottom w:type="dxa" w:w="100"/>
              <w:right w:type="dxa" w:w="120"/>
            </w:tcMar>
            <w:vAlign w:val="center"/>
          </w:tcPr>
          <w:p>
            <w:pPr>
              <w:spacing w:after="0" w:line="260"/>
            </w:pPr>
            <w:r>
              <w:rPr>
                <w:b/>
                <w:bCs/>
                <w:color w:val="FFFFFF"/>
                <w:sz w:val="19"/>
                <w:szCs w:val="19"/>
              </w:rPr>
              <w:t xml:space="preserve">Purpose</w:t>
            </w:r>
          </w:p>
        </w:tc>
        <w:tc>
          <w:tcPr>
            <w:tcW w:type="dxa" w:w="3500"/>
            <w:shd w:fill="0B2447" w:val="clear"/>
            <w:tcMar>
              <w:top w:type="dxa" w:w="100"/>
              <w:left w:type="dxa" w:w="120"/>
              <w:bottom w:type="dxa" w:w="100"/>
              <w:right w:type="dxa" w:w="120"/>
            </w:tcMar>
            <w:vAlign w:val="center"/>
          </w:tcPr>
          <w:p>
            <w:pPr>
              <w:spacing w:after="0" w:line="260"/>
            </w:pPr>
            <w:r>
              <w:rPr>
                <w:b/>
                <w:bCs/>
                <w:color w:val="FFFFFF"/>
                <w:sz w:val="19"/>
                <w:szCs w:val="19"/>
              </w:rPr>
              <w:t xml:space="preserve">Notes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POST /v1/transfers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Initiate a transfer</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Runs the saga in §9 of the master blueprint; returns 202 with transferId</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GET /v1/transfers/{id}</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Get transfer status and itemised quote breakdown</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Status values match the v1.1 status lifecycle, reused unchanged</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POST /v1/transfers/{id}/cancel</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Cancel a cancellable transfer</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Triggers compensation (release hold)</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POST /v1/beneficiaries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Register a beneficiary</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Corridor-specific validation rules applied</w:t>
            </w:r>
          </w:p>
        </w:tc>
      </w:tr>
    </w:tbl>
    <w:p>
      <w:pPr>
        <w:pStyle w:val="Heading1"/>
        <w:pBdr>
          <w:bottom w:val="single" w:color="0B2447" w:sz="6" w:space="4"/>
        </w:pBdr>
        <w:spacing w:after="160" w:before="360"/>
      </w:pPr>
      <w:r>
        <w:rPr>
          <w:b/>
          <w:bCs/>
          <w:color w:val="0B2447"/>
          <w:sz w:val="30"/>
          <w:szCs w:val="30"/>
        </w:rPr>
        <w:t xml:space="preserve">5. Events</w:t>
      </w:r>
    </w:p>
    <w:p>
      <w:pPr>
        <w:pStyle w:val="Heading2"/>
        <w:spacing w:after="120" w:before="280"/>
      </w:pPr>
      <w:r>
        <w:rPr>
          <w:b/>
          <w:bCs/>
          <w:color w:val="12766A"/>
          <w:sz w:val="25"/>
          <w:szCs w:val="25"/>
        </w:rPr>
        <w:t xml:space="preserve">5.1 Published</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600"/>
        <w:gridCol w:w="3200"/>
        <w:gridCol w:w="3500"/>
      </w:tblGrid>
      <w:tr>
        <w:trPr>
          <w:tblHeader/>
        </w:trPr>
        <w:tc>
          <w:tcPr>
            <w:tcW w:type="dxa" w:w="2600"/>
            <w:shd w:fill="0B2447" w:val="clear"/>
            <w:tcMar>
              <w:top w:type="dxa" w:w="100"/>
              <w:left w:type="dxa" w:w="120"/>
              <w:bottom w:type="dxa" w:w="100"/>
              <w:right w:type="dxa" w:w="120"/>
            </w:tcMar>
            <w:vAlign w:val="center"/>
          </w:tcPr>
          <w:p>
            <w:pPr>
              <w:spacing w:after="0" w:line="260"/>
            </w:pPr>
            <w:r>
              <w:rPr>
                <w:b/>
                <w:bCs/>
                <w:color w:val="FFFFFF"/>
                <w:sz w:val="19"/>
                <w:szCs w:val="19"/>
              </w:rPr>
              <w:t xml:space="preserve">Topic</w:t>
            </w:r>
          </w:p>
        </w:tc>
        <w:tc>
          <w:tcPr>
            <w:tcW w:type="dxa" w:w="3200"/>
            <w:shd w:fill="0B2447" w:val="clear"/>
            <w:tcMar>
              <w:top w:type="dxa" w:w="100"/>
              <w:left w:type="dxa" w:w="120"/>
              <w:bottom w:type="dxa" w:w="100"/>
              <w:right w:type="dxa" w:w="120"/>
            </w:tcMar>
            <w:vAlign w:val="center"/>
          </w:tcPr>
          <w:p>
            <w:pPr>
              <w:spacing w:after="0" w:line="260"/>
            </w:pPr>
            <w:r>
              <w:rPr>
                <w:b/>
                <w:bCs/>
                <w:color w:val="FFFFFF"/>
                <w:sz w:val="19"/>
                <w:szCs w:val="19"/>
              </w:rPr>
              <w:t xml:space="preserve">Emitted when</w:t>
            </w:r>
          </w:p>
        </w:tc>
        <w:tc>
          <w:tcPr>
            <w:tcW w:type="dxa" w:w="3500"/>
            <w:shd w:fill="0B2447" w:val="clear"/>
            <w:tcMar>
              <w:top w:type="dxa" w:w="100"/>
              <w:left w:type="dxa" w:w="120"/>
              <w:bottom w:type="dxa" w:w="100"/>
              <w:right w:type="dxa" w:w="120"/>
            </w:tcMar>
            <w:vAlign w:val="center"/>
          </w:tcPr>
          <w:p>
            <w:pPr>
              <w:spacing w:after="0" w:line="260"/>
            </w:pPr>
            <w:r>
              <w:rPr>
                <w:b/>
                <w:bCs/>
                <w:color w:val="FFFFFF"/>
                <w:sz w:val="19"/>
                <w:szCs w:val="19"/>
              </w:rPr>
              <w:t xml:space="preserve">Key payload fields</w:t>
            </w:r>
          </w:p>
        </w:tc>
      </w:tr>
      <w:tr>
        <w:tc>
          <w:tcPr>
            <w:tcW w:type="dxa" w:w="2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payments.transfer.initiated.v1</w:t>
            </w:r>
          </w:p>
        </w:tc>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 transfer saga starts</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transfer_id, tenant_id, corridor, amount</w:t>
            </w:r>
          </w:p>
        </w:tc>
      </w:tr>
      <w:tr>
        <w:tc>
          <w:tcPr>
            <w:tcW w:type="dxa" w:w="2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payments.transfer.completed.v1</w:t>
            </w:r>
          </w:p>
        </w:tc>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The saga reaches a successful terminal state</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transfer_id, settled_at</w:t>
            </w:r>
          </w:p>
        </w:tc>
      </w:tr>
      <w:tr>
        <w:tc>
          <w:tcPr>
            <w:tcW w:type="dxa" w:w="2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payments.transfer.failed.v1</w:t>
            </w:r>
          </w:p>
        </w:tc>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The saga compensates and fails</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transfer_id, failed_step, reason</w:t>
            </w:r>
          </w:p>
        </w:tc>
      </w:tr>
    </w:tbl>
    <w:p>
      <w:pPr>
        <w:pStyle w:val="Heading2"/>
        <w:spacing w:after="120" w:before="280"/>
      </w:pPr>
      <w:r>
        <w:rPr>
          <w:b/>
          <w:bCs/>
          <w:color w:val="12766A"/>
          <w:sz w:val="25"/>
          <w:szCs w:val="25"/>
        </w:rPr>
        <w:t xml:space="preserve">5.2 Consumed</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3200"/>
        <w:gridCol w:w="6100"/>
      </w:tblGrid>
      <w:tr>
        <w:trPr>
          <w:tblHeader/>
        </w:trPr>
        <w:tc>
          <w:tcPr>
            <w:tcW w:type="dxa" w:w="3200"/>
            <w:shd w:fill="0B2447" w:val="clear"/>
            <w:tcMar>
              <w:top w:type="dxa" w:w="100"/>
              <w:left w:type="dxa" w:w="120"/>
              <w:bottom w:type="dxa" w:w="100"/>
              <w:right w:type="dxa" w:w="120"/>
            </w:tcMar>
            <w:vAlign w:val="center"/>
          </w:tcPr>
          <w:p>
            <w:pPr>
              <w:spacing w:after="0" w:line="260"/>
            </w:pPr>
            <w:r>
              <w:rPr>
                <w:b/>
                <w:bCs/>
                <w:color w:val="FFFFFF"/>
                <w:sz w:val="19"/>
                <w:szCs w:val="19"/>
              </w:rPr>
              <w:t xml:space="preserve">Topic</w:t>
            </w:r>
          </w:p>
        </w:tc>
        <w:tc>
          <w:tcPr>
            <w:tcW w:type="dxa" w:w="6100"/>
            <w:shd w:fill="0B2447" w:val="clear"/>
            <w:tcMar>
              <w:top w:type="dxa" w:w="100"/>
              <w:left w:type="dxa" w:w="120"/>
              <w:bottom w:type="dxa" w:w="100"/>
              <w:right w:type="dxa" w:w="120"/>
            </w:tcMar>
            <w:vAlign w:val="center"/>
          </w:tcPr>
          <w:p>
            <w:pPr>
              <w:spacing w:after="0" w:line="260"/>
            </w:pPr>
            <w:r>
              <w:rPr>
                <w:b/>
                <w:bCs/>
                <w:color w:val="FFFFFF"/>
                <w:sz w:val="19"/>
                <w:szCs w:val="19"/>
              </w:rPr>
              <w:t xml:space="preserve">Reaction</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screening.case.opened.v1</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Places the transfer on compliance hold pending case disposition</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ledger.hold.released.v1 / .captured.v1</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Advances the saga state machine</w:t>
            </w:r>
          </w:p>
        </w:tc>
      </w:tr>
    </w:tbl>
    <w:p>
      <w:pPr>
        <w:pStyle w:val="Heading1"/>
        <w:pBdr>
          <w:bottom w:val="single" w:color="0B2447" w:sz="6" w:space="4"/>
        </w:pBdr>
        <w:spacing w:after="160" w:before="360"/>
      </w:pPr>
      <w:r>
        <w:rPr>
          <w:b/>
          <w:bCs/>
          <w:color w:val="0B2447"/>
          <w:sz w:val="30"/>
          <w:szCs w:val="30"/>
        </w:rPr>
        <w:t xml:space="preserve">6. Data Model (Core Tables)</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2200"/>
        <w:gridCol w:w="3600"/>
        <w:gridCol w:w="3500"/>
      </w:tblGrid>
      <w:tr>
        <w:trPr>
          <w:tblHeader/>
        </w:trPr>
        <w:tc>
          <w:tcPr>
            <w:tcW w:type="dxa" w:w="2200"/>
            <w:shd w:fill="0B2447" w:val="clear"/>
            <w:tcMar>
              <w:top w:type="dxa" w:w="100"/>
              <w:left w:type="dxa" w:w="120"/>
              <w:bottom w:type="dxa" w:w="100"/>
              <w:right w:type="dxa" w:w="120"/>
            </w:tcMar>
            <w:vAlign w:val="center"/>
          </w:tcPr>
          <w:p>
            <w:pPr>
              <w:spacing w:after="0" w:line="260"/>
            </w:pPr>
            <w:r>
              <w:rPr>
                <w:b/>
                <w:bCs/>
                <w:color w:val="FFFFFF"/>
                <w:sz w:val="19"/>
                <w:szCs w:val="19"/>
              </w:rPr>
              <w:t xml:space="preserve">Table</w:t>
            </w:r>
          </w:p>
        </w:tc>
        <w:tc>
          <w:tcPr>
            <w:tcW w:type="dxa" w:w="3600"/>
            <w:shd w:fill="0B2447" w:val="clear"/>
            <w:tcMar>
              <w:top w:type="dxa" w:w="100"/>
              <w:left w:type="dxa" w:w="120"/>
              <w:bottom w:type="dxa" w:w="100"/>
              <w:right w:type="dxa" w:w="120"/>
            </w:tcMar>
            <w:vAlign w:val="center"/>
          </w:tcPr>
          <w:p>
            <w:pPr>
              <w:spacing w:after="0" w:line="260"/>
            </w:pPr>
            <w:r>
              <w:rPr>
                <w:b/>
                <w:bCs/>
                <w:color w:val="FFFFFF"/>
                <w:sz w:val="19"/>
                <w:szCs w:val="19"/>
              </w:rPr>
              <w:t xml:space="preserve">Key columns</w:t>
            </w:r>
          </w:p>
        </w:tc>
        <w:tc>
          <w:tcPr>
            <w:tcW w:type="dxa" w:w="3500"/>
            <w:shd w:fill="0B2447" w:val="clear"/>
            <w:tcMar>
              <w:top w:type="dxa" w:w="100"/>
              <w:left w:type="dxa" w:w="120"/>
              <w:bottom w:type="dxa" w:w="100"/>
              <w:right w:type="dxa" w:w="120"/>
            </w:tcMar>
            <w:vAlign w:val="center"/>
          </w:tcPr>
          <w:p>
            <w:pPr>
              <w:spacing w:after="0" w:line="260"/>
            </w:pPr>
            <w:r>
              <w:rPr>
                <w:b/>
                <w:bCs/>
                <w:color w:val="FFFFFF"/>
                <w:sz w:val="19"/>
                <w:szCs w:val="19"/>
              </w:rPr>
              <w:t xml:space="preserve">Notes</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transfers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id, tenant_id, corridor, status, amount, quote_ref</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Status transitions logged to transfer_history for audit</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beneficiaries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id, customer_id, corridor, verification_status</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Scoped per tenant</w:t>
            </w:r>
          </w:p>
        </w:tc>
      </w:tr>
      <w:tr>
        <w:tc>
          <w:tcPr>
            <w:tcW w:type="dxa" w:w="2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corridors</w:t>
            </w:r>
          </w:p>
        </w:tc>
        <w:tc>
          <w:tcPr>
            <w:tcW w:type="dxa" w:w="36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id, source, destination, bound_adapter, active</w:t>
            </w:r>
          </w:p>
        </w:tc>
        <w:tc>
          <w:tcPr>
            <w:tcW w:type="dxa" w:w="35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Resolved via the configuration hierarchy, not hard-coded — e.g. AE→PK bound to the cross-border rail adapter, PK→PK bound to the Raast adapter</w:t>
            </w:r>
          </w:p>
        </w:tc>
      </w:tr>
    </w:tbl>
    <w:tbl>
      <w:tblPr>
        <w:tblW w:type="dxa" w:w="9350"/>
        <w:tblBorders>
          <w:top w:val="single" w:color="12766A" w:sz="4"/>
          <w:left w:val="single" w:color="12766A" w:sz="4"/>
          <w:bottom w:val="single" w:color="12766A" w:sz="4"/>
          <w:right w:val="single" w:color="12766A" w:sz="4"/>
          <w:insideH w:val="single" w:color="12766A" w:sz="4"/>
          <w:insideV w:val="single" w:color="12766A" w:sz="4"/>
        </w:tblBorders>
      </w:tblPr>
      <w:tblGrid>
        <w:gridCol w:w="100"/>
      </w:tblGrid>
      <w:tr>
        <w:tc>
          <w:tcPr>
            <w:tcW w:type="dxa" w:w="9350"/>
            <w:shd w:fill="EAF2F8" w:val="clear"/>
            <w:tcMar>
              <w:top w:type="dxa" w:w="140"/>
              <w:left w:type="dxa" w:w="180"/>
              <w:bottom w:type="dxa" w:w="140"/>
              <w:right w:type="dxa" w:w="180"/>
            </w:tcMar>
          </w:tcPr>
          <w:p>
            <w:pPr>
              <w:spacing w:after="0" w:line="276"/>
            </w:pPr>
            <w:r>
              <w:rPr>
                <w:b/>
                <w:bCs/>
                <w:color w:val="12766A"/>
                <w:sz w:val="21"/>
                <w:szCs w:val="21"/>
              </w:rPr>
              <w:t xml:space="preserve">Tenant isolation.  </w:t>
            </w:r>
            <w:r>
              <w:rPr>
                <w:sz w:val="21"/>
                <w:szCs w:val="21"/>
              </w:rPr>
              <w:t xml:space="preserve">This service's tables are isolated per the platform-wide tenant tier model (database-per-tenant for Enterprise, schema-per-tenant for Standard, pooled + RLS for Starter/Sandbox). Every table carries a tenant_id column even under silo/bridge isolation, for defence-in-depth and consistent tooling.</w:t>
            </w:r>
          </w:p>
        </w:tc>
      </w:tr>
    </w:tbl>
    <w:p>
      <w:pPr>
        <w:pStyle w:val="Heading1"/>
        <w:pBdr>
          <w:bottom w:val="single" w:color="0B2447" w:sz="6" w:space="4"/>
        </w:pBdr>
        <w:spacing w:after="160" w:before="360"/>
      </w:pPr>
      <w:r>
        <w:rPr>
          <w:b/>
          <w:bCs/>
          <w:color w:val="0B2447"/>
          <w:sz w:val="30"/>
          <w:szCs w:val="30"/>
        </w:rPr>
        <w:t xml:space="preserve">7. Configuration and Compliance Interaction</w:t>
      </w:r>
    </w:p>
    <w:p>
      <w:pPr>
        <w:pStyle w:val="ListParagraph"/>
        <w:numPr>
          <w:ilvl w:val="0"/>
          <w:numId w:val="1"/>
        </w:numPr>
        <w:spacing w:after="90" w:line="276"/>
      </w:pPr>
      <w:r>
        <w:rPr>
          <w:sz w:val="21"/>
          <w:szCs w:val="21"/>
        </w:rPr>
        <w:t xml:space="preserve">Which payout-rail/core-banking adapter serves a corridor is a per-tenant/region SPI-registry binding (§6.4 of the master blueprint), not a code path.</w:t>
      </w:r>
    </w:p>
    <w:p>
      <w:pPr>
        <w:pStyle w:val="ListParagraph"/>
        <w:numPr>
          <w:ilvl w:val="0"/>
          <w:numId w:val="1"/>
        </w:numPr>
        <w:spacing w:after="90" w:line="276"/>
      </w:pPr>
      <w:r>
        <w:rPr>
          <w:sz w:val="21"/>
          <w:szCs w:val="21"/>
        </w:rPr>
        <w:t xml:space="preserve">Cut-off times, value-dating and business calendars are configured per tenant/market and applied consistently to settlement.</w:t>
      </w:r>
    </w:p>
    <w:p>
      <w:pPr>
        <w:pStyle w:val="Heading1"/>
        <w:pBdr>
          <w:bottom w:val="single" w:color="0B2447" w:sz="6" w:space="4"/>
        </w:pBdr>
        <w:spacing w:after="160" w:before="360"/>
      </w:pPr>
      <w:r>
        <w:rPr>
          <w:b/>
          <w:bCs/>
          <w:color w:val="0B2447"/>
          <w:sz w:val="30"/>
          <w:szCs w:val="30"/>
        </w:rPr>
        <w:t xml:space="preserve">8. Non-Functional Requirements</w:t>
      </w:r>
    </w:p>
    <w:tbl>
      <w:tblPr>
        <w:tblW w:type="dxa" w:w="9300"/>
        <w:tblBorders>
          <w:top w:val="single" w:color="AAB7B8" w:sz="4"/>
          <w:left w:val="single" w:color="AAB7B8" w:sz="4"/>
          <w:bottom w:val="single" w:color="AAB7B8" w:sz="4"/>
          <w:right w:val="single" w:color="AAB7B8" w:sz="4"/>
          <w:insideH w:val="single" w:color="AAB7B8" w:sz="4"/>
          <w:insideV w:val="single" w:color="AAB7B8" w:sz="4"/>
        </w:tblBorders>
      </w:tblPr>
      <w:tblGrid>
        <w:gridCol w:w="3200"/>
        <w:gridCol w:w="6100"/>
      </w:tblGrid>
      <w:tr>
        <w:trPr>
          <w:tblHeader/>
        </w:trPr>
        <w:tc>
          <w:tcPr>
            <w:tcW w:type="dxa" w:w="3200"/>
            <w:shd w:fill="0B2447" w:val="clear"/>
            <w:tcMar>
              <w:top w:type="dxa" w:w="100"/>
              <w:left w:type="dxa" w:w="120"/>
              <w:bottom w:type="dxa" w:w="100"/>
              <w:right w:type="dxa" w:w="120"/>
            </w:tcMar>
            <w:vAlign w:val="center"/>
          </w:tcPr>
          <w:p>
            <w:pPr>
              <w:spacing w:after="0" w:line="260"/>
            </w:pPr>
            <w:r>
              <w:rPr>
                <w:b/>
                <w:bCs/>
                <w:color w:val="FFFFFF"/>
                <w:sz w:val="19"/>
                <w:szCs w:val="19"/>
              </w:rPr>
              <w:t xml:space="preserve">Attribute</w:t>
            </w:r>
          </w:p>
        </w:tc>
        <w:tc>
          <w:tcPr>
            <w:tcW w:type="dxa" w:w="6100"/>
            <w:shd w:fill="0B2447" w:val="clear"/>
            <w:tcMar>
              <w:top w:type="dxa" w:w="100"/>
              <w:left w:type="dxa" w:w="120"/>
              <w:bottom w:type="dxa" w:w="100"/>
              <w:right w:type="dxa" w:w="120"/>
            </w:tcMar>
            <w:vAlign w:val="center"/>
          </w:tcPr>
          <w:p>
            <w:pPr>
              <w:spacing w:after="0" w:line="260"/>
            </w:pPr>
            <w:r>
              <w:rPr>
                <w:b/>
                <w:bCs/>
                <w:color w:val="FFFFFF"/>
                <w:sz w:val="19"/>
                <w:szCs w:val="19"/>
              </w:rPr>
              <w:t xml:space="preserve">Target</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Saga completion (happy path, domestic)</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p95 &lt; 5 seconds excluding external rail latency</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Saga completion (cross-border)</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p95 &lt; 60 seconds excluding external rail latency</w:t>
            </w:r>
          </w:p>
        </w:tc>
      </w:tr>
      <w:tr>
        <w:tc>
          <w:tcPr>
            <w:tcW w:type="dxa" w:w="32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Idempotency</w:t>
            </w:r>
          </w:p>
        </w:tc>
        <w:tc>
          <w:tcPr>
            <w:tcW w:type="dxa" w:w="6100"/>
            <w:shd w:fill="FFFFFF" w:val="clear"/>
            <w:tcMar>
              <w:top w:type="dxa" w:w="100"/>
              <w:left w:type="dxa" w:w="120"/>
              <w:bottom w:type="dxa" w:w="100"/>
              <w:right w:type="dxa" w:w="120"/>
            </w:tcMar>
            <w:vAlign w:val="center"/>
          </w:tcPr>
          <w:p>
            <w:pPr>
              <w:spacing w:after="0" w:line="260"/>
            </w:pPr>
            <w:r>
              <w:rPr>
                <w:b w:val="false"/>
                <w:bCs w:val="false"/>
                <w:color w:val="1B2631"/>
                <w:sz w:val="19"/>
                <w:szCs w:val="19"/>
              </w:rPr>
              <w:t xml:space="preserve">100% — every mutating call requires and honours an idempotency key</w:t>
            </w:r>
          </w:p>
        </w:tc>
      </w:tr>
    </w:tbl>
    <w:p>
      <w:pPr>
        <w:pStyle w:val="Heading1"/>
        <w:pBdr>
          <w:bottom w:val="single" w:color="0B2447" w:sz="6" w:space="4"/>
        </w:pBdr>
        <w:spacing w:after="160" w:before="360"/>
      </w:pPr>
      <w:r>
        <w:rPr>
          <w:b/>
          <w:bCs/>
          <w:color w:val="0B2447"/>
          <w:sz w:val="30"/>
          <w:szCs w:val="30"/>
        </w:rPr>
        <w:t xml:space="preserve">9. Dependencies</w:t>
      </w:r>
    </w:p>
    <w:p>
      <w:pPr>
        <w:pStyle w:val="ListParagraph"/>
        <w:numPr>
          <w:ilvl w:val="0"/>
          <w:numId w:val="1"/>
        </w:numPr>
        <w:spacing w:after="90" w:line="276"/>
      </w:pPr>
      <w:r>
        <w:rPr>
          <w:sz w:val="21"/>
          <w:szCs w:val="21"/>
        </w:rPr>
        <w:t xml:space="preserve">Pricing (10)</w:t>
      </w:r>
    </w:p>
    <w:p>
      <w:pPr>
        <w:pStyle w:val="ListParagraph"/>
        <w:numPr>
          <w:ilvl w:val="0"/>
          <w:numId w:val="1"/>
        </w:numPr>
        <w:spacing w:after="90" w:line="276"/>
      </w:pPr>
      <w:r>
        <w:rPr>
          <w:sz w:val="21"/>
          <w:szCs w:val="21"/>
        </w:rPr>
        <w:t xml:space="preserve">Screening (03)</w:t>
      </w:r>
    </w:p>
    <w:p>
      <w:pPr>
        <w:pStyle w:val="ListParagraph"/>
        <w:numPr>
          <w:ilvl w:val="0"/>
          <w:numId w:val="1"/>
        </w:numPr>
        <w:spacing w:after="90" w:line="276"/>
      </w:pPr>
      <w:r>
        <w:rPr>
          <w:sz w:val="21"/>
          <w:szCs w:val="21"/>
        </w:rPr>
        <w:t xml:space="preserve">Ledger (04)</w:t>
      </w:r>
    </w:p>
    <w:p>
      <w:pPr>
        <w:pStyle w:val="ListParagraph"/>
        <w:numPr>
          <w:ilvl w:val="0"/>
          <w:numId w:val="1"/>
        </w:numPr>
        <w:spacing w:after="90" w:line="276"/>
      </w:pPr>
      <w:r>
        <w:rPr>
          <w:sz w:val="21"/>
          <w:szCs w:val="21"/>
        </w:rPr>
        <w:t xml:space="preserve">Payout Rail Adapter (19)</w:t>
      </w:r>
    </w:p>
    <w:p>
      <w:pPr>
        <w:pStyle w:val="ListParagraph"/>
        <w:numPr>
          <w:ilvl w:val="0"/>
          <w:numId w:val="1"/>
        </w:numPr>
        <w:spacing w:after="90" w:line="276"/>
      </w:pPr>
      <w:r>
        <w:rPr>
          <w:sz w:val="21"/>
          <w:szCs w:val="21"/>
        </w:rPr>
        <w:t xml:space="preserve">Core Banking Host Adapter (18)</w:t>
      </w:r>
    </w:p>
    <w:p>
      <w:pPr>
        <w:pStyle w:val="Heading1"/>
        <w:pBdr>
          <w:bottom w:val="single" w:color="0B2447" w:sz="6" w:space="4"/>
        </w:pBdr>
        <w:spacing w:after="160" w:before="360"/>
      </w:pPr>
      <w:r>
        <w:rPr>
          <w:b/>
          <w:bCs/>
          <w:color w:val="0B2447"/>
          <w:sz w:val="30"/>
          <w:szCs w:val="30"/>
        </w:rPr>
        <w:t xml:space="preserve">10. Technology Stack for This Service</w:t>
      </w:r>
    </w:p>
    <w:p>
      <w:pPr>
        <w:pStyle w:val="ListParagraph"/>
        <w:numPr>
          <w:ilvl w:val="0"/>
          <w:numId w:val="1"/>
        </w:numPr>
        <w:spacing w:after="90" w:line="276"/>
      </w:pPr>
      <w:r>
        <w:rPr>
          <w:sz w:val="21"/>
          <w:szCs w:val="21"/>
        </w:rPr>
        <w:t xml:space="preserve">Java 21 + Spring Boot 3.3</w:t>
      </w:r>
    </w:p>
    <w:p>
      <w:pPr>
        <w:pStyle w:val="ListParagraph"/>
        <w:numPr>
          <w:ilvl w:val="0"/>
          <w:numId w:val="1"/>
        </w:numPr>
        <w:spacing w:after="90" w:line="276"/>
      </w:pPr>
      <w:r>
        <w:rPr>
          <w:sz w:val="21"/>
          <w:szCs w:val="21"/>
        </w:rPr>
        <w:t xml:space="preserve">PostgreSQL 16</w:t>
      </w:r>
    </w:p>
    <w:p>
      <w:pPr>
        <w:pStyle w:val="ListParagraph"/>
        <w:numPr>
          <w:ilvl w:val="0"/>
          <w:numId w:val="1"/>
        </w:numPr>
        <w:spacing w:after="90" w:line="276"/>
      </w:pPr>
      <w:r>
        <w:rPr>
          <w:sz w:val="21"/>
          <w:szCs w:val="21"/>
        </w:rPr>
        <w:t xml:space="preserve">Kafka (saga orchestration via choreography + a saga-state table, not a heavyweight orchestration engine, to keep the mechanism simple and debuggable)</w:t>
      </w:r>
    </w:p>
    <w:p>
      <w:pPr>
        <w:pStyle w:val="Heading1"/>
        <w:pBdr>
          <w:bottom w:val="single" w:color="0B2447" w:sz="6" w:space="4"/>
        </w:pBdr>
        <w:spacing w:after="160" w:before="360"/>
      </w:pPr>
      <w:r>
        <w:rPr>
          <w:b/>
          <w:bCs/>
          <w:color w:val="0B2447"/>
          <w:sz w:val="30"/>
          <w:szCs w:val="30"/>
        </w:rPr>
        <w:t xml:space="preserve">11. Open Questions and Risks</w:t>
      </w:r>
    </w:p>
    <w:p>
      <w:pPr>
        <w:pStyle w:val="ListParagraph"/>
        <w:numPr>
          <w:ilvl w:val="0"/>
          <w:numId w:val="1"/>
        </w:numPr>
        <w:spacing w:after="90" w:line="276"/>
      </w:pPr>
      <w:r>
        <w:rPr>
          <w:sz w:val="21"/>
          <w:szCs w:val="21"/>
        </w:rPr>
        <w:t xml:space="preserve">Saga steps executed out of order under retry — mitigated by a persisted saga-state machine with strict step preconditions, not an in-memory orchestrator.</w:t>
      </w:r>
    </w:p>
    <w:p>
      <w:pPr>
        <w:pStyle w:val="ListParagraph"/>
        <w:numPr>
          <w:ilvl w:val="0"/>
          <w:numId w:val="1"/>
        </w:numPr>
        <w:spacing w:after="90" w:line="276"/>
      </w:pPr>
      <w:r>
        <w:rPr>
          <w:sz w:val="21"/>
          <w:szCs w:val="21"/>
        </w:rPr>
        <w:t xml:space="preserve">Partial payouts on rail timeout — mitigated by treating rail confirmation as async (webhook/poll) with the transfer held in a well-defined “in flight” state until confirmed either way.</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D6D7E"/>
        <w:sz w:val="16"/>
        <w:szCs w:val="16"/>
      </w:rPr>
      <w:t xml:space="preserve">Confidential — Internal Use   ·   Page </w:t>
    </w:r>
    <w:r>
      <w:rPr>
        <w:color w:val="5D6D7E"/>
        <w:sz w:val="16"/>
        <w:szCs w:val="16"/>
      </w:rPr>
      <w:fldChar w:fldCharType="begin"/>
      <w:instrText xml:space="preserve">PAGE</w:instrText>
      <w:fldChar w:fldCharType="separate"/>
      <w:fldChar w:fldCharType="end"/>
    </w:r>
    <w:r>
      <w:rPr>
        <w:color w:val="5D6D7E"/>
        <w:sz w:val="16"/>
        <w:szCs w:val="16"/>
      </w:rPr>
      <w:t xml:space="preserve"> of </w:t>
    </w:r>
    <w:r>
      <w:rPr>
        <w:color w:val="5D6D7E"/>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5D6D7E"/>
        <w:sz w:val="16"/>
        <w:szCs w:val="16"/>
      </w:rPr>
      <w:t xml:space="preserve">Document 05 — Payments &amp; Remittance Service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2026-07-06T12:24:05.060Z</dcterms:created>
  <dcterms:modified xsi:type="dcterms:W3CDTF">2026-07-06T12:24:05.060Z</dcterms:modified>
</cp:coreProperties>
</file>

<file path=docProps/custom.xml><?xml version="1.0" encoding="utf-8"?>
<Properties xmlns="http://schemas.openxmlformats.org/officeDocument/2006/custom-properties" xmlns:vt="http://schemas.openxmlformats.org/officeDocument/2006/docPropsVTypes"/>
</file>