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400"/>
        <w:jc w:val="center"/>
      </w:pPr>
      <w:r>
        <w:rPr>
          <w:b/>
          <w:bCs/>
          <w:color w:val="12766A"/>
          <w:sz w:val="22"/>
          <w:szCs w:val="22"/>
        </w:rPr>
        <w:t xml:space="preserve">SERVICE SPECIFICATION · DOCUMENT 12</w:t>
      </w:r>
    </w:p>
    <w:p>
      <w:pPr>
        <w:spacing w:after="120" w:before="120"/>
        <w:jc w:val="center"/>
      </w:pPr>
      <w:r>
        <w:rPr>
          <w:b/>
          <w:bCs/>
          <w:color w:val="0B2447"/>
          <w:sz w:val="44"/>
          <w:szCs w:val="44"/>
        </w:rPr>
        <w:t xml:space="preserve">Tenant Registry &amp; Control-Plane Service</w:t>
      </w:r>
    </w:p>
    <w:p>
      <w:pPr>
        <w:spacing w:after="200"/>
        <w:jc w:val="center"/>
      </w:pPr>
      <w:r>
        <w:rPr>
          <w:b/>
          <w:bCs/>
          <w:color w:val="12766A"/>
          <w:sz w:val="26"/>
          <w:szCs w:val="26"/>
        </w:rPr>
        <w:t xml:space="preserve">Tenant lifecycle, hierarchical configuration, entitlements, onboarding orchestration</w:t>
      </w:r>
    </w:p>
    <w:p>
      <w:pPr>
        <w:spacing w:after="300"/>
        <w:jc w:val="center"/>
      </w:pPr>
      <w:r>
        <w:rPr>
          <w:i/>
          <w:iCs/>
          <w:color w:val="5D6D7E"/>
          <w:sz w:val="21"/>
          <w:szCs w:val="21"/>
        </w:rPr>
        <w:t xml:space="preserve">The tenant-agnostic brain of the platform: where a tenant is registered, its configuration resolved, and its onboarding orchestrated — holding no regulated customer data itself.</w:t>
      </w:r>
    </w:p>
    <w:p>
      <w:pPr>
        <w:pBdr>
          <w:bottom w:val="single" w:color="B9770E" w:sz="12" w:space="8"/>
        </w:pBdr>
        <w:spacing w:after="300"/>
      </w:pPr>
    </w:p>
    <w:tbl>
      <w:tblPr>
        <w:tblW w:type="dxa" w:w="935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695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Field</w:t>
            </w:r>
          </w:p>
        </w:tc>
        <w:tc>
          <w:tcPr>
            <w:tcW w:type="dxa" w:w="69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Details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title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 Registry &amp; Control-Plane Service — Service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Part of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Product Architecture Blueprint v3.0 — Multi-Tenant, Plug-and-Play Digital Banking &amp; Remittance Platform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Owning squad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Platform / Enablement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Sellable standalone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Platform-internal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Primary stack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Java 21 + Spring Boot 3.3, PostgreSQL, Redis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3.0 — Build-Ready Baseline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Date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 July 2026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Classification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1. Purpose and Scope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Implements the control-plane capabilities from §5 and §6 of the master blueprint: the tenant registry, the hierarchical configuration store and resolver, entitlements, and the onboarding orchestration flow from §16.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1.1 In scope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Tenant registration, tier/region assignment, lifecycle state (provisioning/active/suspended/offboarding)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Hierarchical configuration authoring, versioning, effective-dating, maker-checker and resolution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Entitlements (which capabilities/products a tenant has licensed)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Onboarding workflow orchestration (calls IaC pipelines, other services' provisioning APIs)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1.2 Out of scope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Holding any regulated customer/transaction data — structurally excluded from the control plane per §12.1 of the master blueprint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2. Domain Model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Core aggregates are Tenant, ConfigurationVersion and Entitlement.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800"/>
        <w:gridCol w:w="33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Entity / Value Object</w:t>
            </w:r>
          </w:p>
        </w:tc>
        <w:tc>
          <w:tcPr>
            <w:tcW w:type="dxa" w:w="38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  <w:tc>
          <w:tcPr>
            <w:tcW w:type="dxa" w:w="33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invariants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registered customer institution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Exactly one lifecycle state at a time; state transitions are audited and, for destructive ones, maker-checker controlled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ConfigurationVersion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An immutable, versioned, effective-dated configuration set at some scope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Never edited in place; publish creates a new version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Entitlement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licensed capability/product for a tenant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Checked by every domain service before exposing the relevant API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3. Ports (Interfaces Owned by This Service)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3.1 Inbound ports (use cases)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RegisterTenant(details, tier, region) → TenantId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PublishConfiguration(scope, values, approver) → VersionId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ResolveEffectiveConfig(tenant, product, channel, corridor) → EffectiveConfig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GrantEntitlement(tenantId, capability)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3.2 Outbound ports (dependencies on other capabilities)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4200"/>
        <w:gridCol w:w="270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Port</w:t>
            </w:r>
          </w:p>
        </w:tc>
        <w:tc>
          <w:tcPr>
            <w:tcW w:type="dxa" w:w="4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  <w:tc>
          <w:tcPr>
            <w:tcW w:type="dxa" w:w="27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Adapter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IaCTriggerPort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Trigger Terraform provisioning for a new tenant/cell</w:t>
            </w:r>
          </w:p>
        </w:tc>
        <w:tc>
          <w:tcPr>
            <w:tcW w:type="dxa" w:w="27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Internal — GitOps pipeline trigger, not a runtime port to a provider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IdentityProviderPort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Create the tenant's OIDC realm/client</w:t>
            </w:r>
          </w:p>
        </w:tc>
        <w:tc>
          <w:tcPr>
            <w:tcW w:type="dxa" w:w="27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22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4. API Surface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All endpoints are versioned under /v1, require an OAuth2 access token carrying the tenant claim, and accept an Idempotency-Key header on mutating calls. Full OpenAPI specification is maintained in the service repository; this table is the contract summary.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600"/>
        <w:gridCol w:w="35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Method &amp; path</w:t>
            </w:r>
          </w:p>
        </w:tc>
        <w:tc>
          <w:tcPr>
            <w:tcW w:type="dxa" w:w="3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/v1/tenants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Register a tenant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Starts the onboarding workflow (§16 of the master blueprint)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/v1/config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Author and submit a configuration change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Enters validation → maker-checker → publish pipeline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GET /v1/config/effective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Resolve effective configuration for a request tuple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Cached; this is the hot path called by every other service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/v1/entitlements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Grant/revoke a capability entitlement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Maker-checker required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5. Events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5.1 Published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600"/>
        <w:gridCol w:w="3200"/>
        <w:gridCol w:w="3500"/>
      </w:tblGrid>
      <w:tr>
        <w:trPr>
          <w:tblHeader/>
        </w:trPr>
        <w:tc>
          <w:tcPr>
            <w:tcW w:type="dxa" w:w="2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Topic</w:t>
            </w:r>
          </w:p>
        </w:tc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Emitted when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payload fields</w:t>
            </w:r>
          </w:p>
        </w:tc>
      </w:tr>
      <w:tr>
        <w:tc>
          <w:tcPr>
            <w:tcW w:type="dxa" w:w="2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control.tenant.registered.v1 / .activated.v1 / .suspended.v1</w:t>
            </w:r>
          </w:p>
        </w:tc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 lifecycle transitions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tenant_id, state, region, tier</w:t>
            </w:r>
          </w:p>
        </w:tc>
      </w:tr>
      <w:tr>
        <w:tc>
          <w:tcPr>
            <w:tcW w:type="dxa" w:w="2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control.config.published.v1</w:t>
            </w:r>
          </w:p>
        </w:tc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new configuration version is published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scope, version, effective_from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6. Data Model (Core Tables)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600"/>
        <w:gridCol w:w="35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Table</w:t>
            </w:r>
          </w:p>
        </w:tc>
        <w:tc>
          <w:tcPr>
            <w:tcW w:type="dxa" w:w="3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columns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name, tier, region, status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Central registry; every other service's tenant_id foreign-keys conceptually to this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config_versions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scope, version, hash, effective_from, approved_by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Immutable; the resolver reads the latest effective version per scope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entitlements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tenant_id, capability, granted_at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Checked at the API-gateway layer and, defensively, in each domain service</w:t>
            </w:r>
          </w:p>
        </w:tc>
      </w:tr>
    </w:tbl>
    <w:tbl>
      <w:tblPr>
        <w:tblW w:type="dxa" w:w="9350"/>
        <w:tblBorders>
          <w:top w:val="single" w:color="12766A" w:sz="4"/>
          <w:left w:val="single" w:color="12766A" w:sz="4"/>
          <w:bottom w:val="single" w:color="12766A" w:sz="4"/>
          <w:right w:val="single" w:color="12766A" w:sz="4"/>
          <w:insideH w:val="single" w:color="12766A" w:sz="4"/>
          <w:insideV w:val="single" w:color="12766A" w:sz="4"/>
        </w:tblBorders>
      </w:tblPr>
      <w:tblGrid>
        <w:gridCol w:w="100"/>
      </w:tblGrid>
      <w:tr>
        <w:tc>
          <w:tcPr>
            <w:tcW w:type="dxa" w:w="9350"/>
            <w:shd w:fill="EAF2F8" w:val="clear"/>
            <w:tcMar>
              <w:top w:type="dxa" w:w="140"/>
              <w:left w:type="dxa" w:w="180"/>
              <w:bottom w:type="dxa" w:w="140"/>
              <w:right w:type="dxa" w:w="180"/>
            </w:tcMar>
          </w:tcPr>
          <w:p>
            <w:pPr>
              <w:spacing w:after="0" w:line="276"/>
            </w:pPr>
            <w:r>
              <w:rPr>
                <w:b/>
                <w:bCs/>
                <w:color w:val="12766A"/>
                <w:sz w:val="21"/>
                <w:szCs w:val="21"/>
              </w:rPr>
              <w:t xml:space="preserve">Tenant isolation.  </w:t>
            </w:r>
            <w:r>
              <w:rPr>
                <w:sz w:val="21"/>
                <w:szCs w:val="21"/>
              </w:rPr>
              <w:t xml:space="preserve">The control plane deliberately runs pooled, single-region-primary (with cross-region read replicas), since it holds no regulated tenant data — the opposite isolation posture from the data planes it manages.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7. Configuration and Compliance Interaction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This service is the configuration engine described in §6 of the master blueprint; it does not consume configuration itself in the same sense, it produces and resolves it for everyone else.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8. Non-Functional Requirements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3200"/>
        <w:gridCol w:w="6100"/>
      </w:tblGrid>
      <w:tr>
        <w:trPr>
          <w:tblHeader/>
        </w:trPr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Attribute</w:t>
            </w:r>
          </w:p>
        </w:tc>
        <w:tc>
          <w:tcPr>
            <w:tcW w:type="dxa" w:w="61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Target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Effective-config resolution (cache hit)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p99 &lt; 5 ms, per §18 of the master blueprint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Cache invalidation propagation on publish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&lt; 2 seconds, per §18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Availability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This service is a single point of failure for every tenant's request path if config resolution fails closed — treated as tier-critical with the tightest RPO/RTO in the platform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9. Dependencies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Identity Provider Adapter (22)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IaC/GitOps pipeline (Terraform + ArgoCD, §11.3 of the master blueprint)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Consumed by every other service for effective configuration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10. Technology Stack for This Service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Java 21 + Spring Boot 3.3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PostgreSQL 16 for the registry and config-version store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Redis for the effective-config cache, distributed across regions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11. Open Questions and Risks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This service becoming a bottleneck or single point of failure for every request — mitigated by aggressive regional caching of effective configuration and designing every consuming service to fail safe on a cache-stale read rather than a hard dependency on a live call.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D6D7E"/>
        <w:sz w:val="16"/>
        <w:szCs w:val="16"/>
      </w:rPr>
      <w:t xml:space="preserve">Confidential — Internal Use   ·   Page </w:t>
    </w:r>
    <w:r>
      <w:rPr>
        <w:color w:val="5D6D7E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5D6D7E"/>
        <w:sz w:val="16"/>
        <w:szCs w:val="16"/>
      </w:rPr>
      <w:t xml:space="preserve"> of </w:t>
    </w:r>
    <w:r>
      <w:rPr>
        <w:color w:val="5D6D7E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5D6D7E"/>
        <w:sz w:val="16"/>
        <w:szCs w:val="16"/>
      </w:rPr>
      <w:t xml:space="preserve">Document 12 — Tenant Registry &amp; Control-Plane Service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2026-07-06T12:24:05.336Z</dcterms:created>
  <dcterms:modified xsi:type="dcterms:W3CDTF">2026-07-06T12:24:05.336Z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