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 w:before="400"/>
        <w:jc w:val="center"/>
      </w:pPr>
      <w:r>
        <w:rPr>
          <w:b/>
          <w:bCs/>
          <w:color w:val="12766A"/>
          <w:sz w:val="22"/>
          <w:szCs w:val="22"/>
        </w:rPr>
        <w:t xml:space="preserve">SERVICE SPECIFICATION · DOCUMENT 13</w:t>
      </w:r>
    </w:p>
    <w:p>
      <w:pPr>
        <w:spacing w:after="120" w:before="120"/>
        <w:jc w:val="center"/>
      </w:pPr>
      <w:r>
        <w:rPr>
          <w:b/>
          <w:bCs/>
          <w:color w:val="0B2447"/>
          <w:sz w:val="44"/>
          <w:szCs w:val="44"/>
        </w:rPr>
        <w:t xml:space="preserve">Notification Service</w:t>
      </w:r>
    </w:p>
    <w:p>
      <w:pPr>
        <w:spacing w:after="200"/>
        <w:jc w:val="center"/>
      </w:pPr>
      <w:r>
        <w:rPr>
          <w:b/>
          <w:bCs/>
          <w:color w:val="12766A"/>
          <w:sz w:val="26"/>
          <w:szCs w:val="26"/>
        </w:rPr>
        <w:t xml:space="preserve">Email, SMS and push notification delivery across tenants and locales</w:t>
      </w:r>
    </w:p>
    <w:p>
      <w:pPr>
        <w:spacing w:after="300"/>
        <w:jc w:val="center"/>
      </w:pPr>
      <w:r>
        <w:rPr>
          <w:i/>
          <w:iCs/>
          <w:color w:val="5D6D7E"/>
          <w:sz w:val="21"/>
          <w:szCs w:val="21"/>
        </w:rPr>
        <w:t xml:space="preserve">A thin, high-reliability delivery layer used by every other capability, applying tenant sender-identity and locale/content resolution consistently.</w:t>
      </w:r>
    </w:p>
    <w:p>
      <w:pPr>
        <w:pBdr>
          <w:bottom w:val="single" w:color="B9770E" w:sz="12" w:space="8"/>
        </w:pBdr>
        <w:spacing w:after="300"/>
      </w:pPr>
    </w:p>
    <w:tbl>
      <w:tblPr>
        <w:tblW w:type="dxa" w:w="9350"/>
        <w:tblBorders>
          <w:top w:val="single" w:color="AAB7B8" w:sz="4"/>
          <w:left w:val="single" w:color="AAB7B8" w:sz="4"/>
          <w:bottom w:val="single" w:color="AAB7B8" w:sz="4"/>
          <w:right w:val="single" w:color="AAB7B8" w:sz="4"/>
          <w:insideH w:val="single" w:color="AAB7B8" w:sz="4"/>
          <w:insideV w:val="single" w:color="AAB7B8" w:sz="4"/>
        </w:tblBorders>
      </w:tblPr>
      <w:tblGrid>
        <w:gridCol w:w="2400"/>
        <w:gridCol w:w="6950"/>
      </w:tblGrid>
      <w:tr>
        <w:trPr>
          <w:tblHeader/>
        </w:trPr>
        <w:tc>
          <w:tcPr>
            <w:tcW w:type="dxa" w:w="24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Field</w:t>
            </w:r>
          </w:p>
        </w:tc>
        <w:tc>
          <w:tcPr>
            <w:tcW w:type="dxa" w:w="695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Details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Document title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Notification Service — Service Specification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Part of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Product Architecture Blueprint v3.0 — Multi-Tenant, Plug-and-Play Digital Banking &amp; Remittance Platform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Owning squad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Developer Platform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Sellable standalone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With any capability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Primary stack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Node.js 22 + NestJS, PostgreSQL, Kafka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Version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3.0 — Build-Ready Baseline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Date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2 July 2026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Classification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Confidential — Internal Use</w:t>
            </w:r>
          </w:p>
        </w:tc>
      </w:tr>
    </w:tbl>
    <w:p>
      <w:r>
        <w:br w:type="page"/>
      </w:r>
    </w:p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1. Purpose and Scope</w:t>
      </w:r>
    </w:p>
    <w:p>
      <w:pPr>
        <w:spacing w:after="160" w:line="288"/>
        <w:jc w:val="left"/>
      </w:pPr>
      <w:r>
        <w:rPr>
          <w:sz w:val="21"/>
          <w:szCs w:val="21"/>
        </w:rPr>
        <w:t xml:space="preserve">Delivers transactional notifications (email, SMS, push) triggered by domain events, using per-tenant sender identities and localized, versioned content templates (§7.2–7.3 of the master blueprint).</w:t>
      </w:r>
    </w:p>
    <w:p>
      <w:pPr>
        <w:pStyle w:val="Heading2"/>
        <w:spacing w:after="120" w:before="280"/>
      </w:pPr>
      <w:r>
        <w:rPr>
          <w:b/>
          <w:bCs/>
          <w:color w:val="12766A"/>
          <w:sz w:val="25"/>
          <w:szCs w:val="25"/>
        </w:rPr>
        <w:t xml:space="preserve">1.1 In scope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Template resolution (locale + tenant override) and rendering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Multi-channel delivery (email/SMS/push) via the Notification Adapter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Delivery status tracking and retry</w:t>
      </w:r>
    </w:p>
    <w:p>
      <w:pPr>
        <w:pStyle w:val="Heading2"/>
        <w:spacing w:after="120" w:before="280"/>
      </w:pPr>
      <w:r>
        <w:rPr>
          <w:b/>
          <w:bCs/>
          <w:color w:val="12766A"/>
          <w:sz w:val="25"/>
          <w:szCs w:val="25"/>
        </w:rPr>
        <w:t xml:space="preserve">1.2 Out of scope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The actual email/SMS/push provider integration — owned by the Notification/Messaging Adapter (Document 21)</w:t>
      </w:r>
    </w:p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2. Domain Model</w:t>
      </w:r>
    </w:p>
    <w:p>
      <w:pPr>
        <w:spacing w:after="160" w:line="288"/>
        <w:jc w:val="left"/>
      </w:pPr>
      <w:r>
        <w:rPr>
          <w:sz w:val="21"/>
          <w:szCs w:val="21"/>
        </w:rPr>
        <w:t xml:space="preserve">The core aggregate is the NotificationRequest, resolved to a rendered message and dispatched.</w:t>
      </w:r>
    </w:p>
    <w:tbl>
      <w:tblPr>
        <w:tblW w:type="dxa" w:w="9300"/>
        <w:tblBorders>
          <w:top w:val="single" w:color="AAB7B8" w:sz="4"/>
          <w:left w:val="single" w:color="AAB7B8" w:sz="4"/>
          <w:bottom w:val="single" w:color="AAB7B8" w:sz="4"/>
          <w:right w:val="single" w:color="AAB7B8" w:sz="4"/>
          <w:insideH w:val="single" w:color="AAB7B8" w:sz="4"/>
          <w:insideV w:val="single" w:color="AAB7B8" w:sz="4"/>
        </w:tblBorders>
      </w:tblPr>
      <w:tblGrid>
        <w:gridCol w:w="2200"/>
        <w:gridCol w:w="3800"/>
        <w:gridCol w:w="3300"/>
      </w:tblGrid>
      <w:tr>
        <w:trPr>
          <w:tblHeader/>
        </w:trPr>
        <w:tc>
          <w:tcPr>
            <w:tcW w:type="dxa" w:w="22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Entity / Value Object</w:t>
            </w:r>
          </w:p>
        </w:tc>
        <w:tc>
          <w:tcPr>
            <w:tcW w:type="dxa" w:w="38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Description</w:t>
            </w:r>
          </w:p>
        </w:tc>
        <w:tc>
          <w:tcPr>
            <w:tcW w:type="dxa" w:w="33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Key invariants</w:t>
            </w:r>
          </w:p>
        </w:tc>
      </w:tr>
      <w:tr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NotificationRequest</w:t>
            </w:r>
          </w:p>
        </w:tc>
        <w:tc>
          <w:tcPr>
            <w:tcW w:type="dxa" w:w="38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One triggered notification instance</w:t>
            </w:r>
          </w:p>
        </w:tc>
        <w:tc>
          <w:tcPr>
            <w:tcW w:type="dxa" w:w="33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Immutable once dispatched; a resend creates a new request</w:t>
            </w:r>
          </w:p>
        </w:tc>
      </w:tr>
      <w:tr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Template</w:t>
            </w:r>
          </w:p>
        </w:tc>
        <w:tc>
          <w:tcPr>
            <w:tcW w:type="dxa" w:w="38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A locale- and tenant-scoped content template</w:t>
            </w:r>
          </w:p>
        </w:tc>
        <w:tc>
          <w:tcPr>
            <w:tcW w:type="dxa" w:w="33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ICU MessageFormat; missing-key fallback per §7.2 of the master blueprint</w:t>
            </w:r>
          </w:p>
        </w:tc>
      </w:tr>
    </w:tbl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3. Ports (Interfaces Owned by This Service)</w:t>
      </w:r>
    </w:p>
    <w:p>
      <w:pPr>
        <w:pStyle w:val="Heading2"/>
        <w:spacing w:after="120" w:before="280"/>
      </w:pPr>
      <w:r>
        <w:rPr>
          <w:b/>
          <w:bCs/>
          <w:color w:val="12766A"/>
          <w:sz w:val="25"/>
          <w:szCs w:val="25"/>
        </w:rPr>
        <w:t xml:space="preserve">3.1 Inbound ports (use cases)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SendNotification(tenant, customer, templateKey, params, channel) → RequestId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GetDeliveryStatus(requestId)</w:t>
      </w:r>
    </w:p>
    <w:p>
      <w:pPr>
        <w:pStyle w:val="Heading2"/>
        <w:spacing w:after="120" w:before="280"/>
      </w:pPr>
      <w:r>
        <w:rPr>
          <w:b/>
          <w:bCs/>
          <w:color w:val="12766A"/>
          <w:sz w:val="25"/>
          <w:szCs w:val="25"/>
        </w:rPr>
        <w:t xml:space="preserve">3.2 Outbound ports (dependencies on other capabilities)</w:t>
      </w:r>
    </w:p>
    <w:tbl>
      <w:tblPr>
        <w:tblW w:type="dxa" w:w="9300"/>
        <w:tblBorders>
          <w:top w:val="single" w:color="AAB7B8" w:sz="4"/>
          <w:left w:val="single" w:color="AAB7B8" w:sz="4"/>
          <w:bottom w:val="single" w:color="AAB7B8" w:sz="4"/>
          <w:right w:val="single" w:color="AAB7B8" w:sz="4"/>
          <w:insideH w:val="single" w:color="AAB7B8" w:sz="4"/>
          <w:insideV w:val="single" w:color="AAB7B8" w:sz="4"/>
        </w:tblBorders>
      </w:tblPr>
      <w:tblGrid>
        <w:gridCol w:w="2400"/>
        <w:gridCol w:w="4200"/>
        <w:gridCol w:w="2700"/>
      </w:tblGrid>
      <w:tr>
        <w:trPr>
          <w:tblHeader/>
        </w:trPr>
        <w:tc>
          <w:tcPr>
            <w:tcW w:type="dxa" w:w="24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Port</w:t>
            </w:r>
          </w:p>
        </w:tc>
        <w:tc>
          <w:tcPr>
            <w:tcW w:type="dxa" w:w="42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Purpose</w:t>
            </w:r>
          </w:p>
        </w:tc>
        <w:tc>
          <w:tcPr>
            <w:tcW w:type="dxa" w:w="27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Adapter specification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MessagingProviderPort</w:t>
            </w:r>
          </w:p>
        </w:tc>
        <w:tc>
          <w:tcPr>
            <w:tcW w:type="dxa" w:w="4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Actual email/SMS/push dispatch</w:t>
            </w:r>
          </w:p>
        </w:tc>
        <w:tc>
          <w:tcPr>
            <w:tcW w:type="dxa" w:w="27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Document 21</w:t>
            </w:r>
          </w:p>
        </w:tc>
      </w:tr>
    </w:tbl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4. API Surface</w:t>
      </w:r>
    </w:p>
    <w:p>
      <w:pPr>
        <w:spacing w:after="160" w:line="288"/>
        <w:jc w:val="left"/>
      </w:pPr>
      <w:r>
        <w:rPr>
          <w:sz w:val="21"/>
          <w:szCs w:val="21"/>
        </w:rPr>
        <w:t xml:space="preserve">All endpoints are versioned under /v1, require an OAuth2 access token carrying the tenant claim, and accept an Idempotency-Key header on mutating calls. Full OpenAPI specification is maintained in the service repository; this table is the contract summary.</w:t>
      </w:r>
    </w:p>
    <w:tbl>
      <w:tblPr>
        <w:tblW w:type="dxa" w:w="9300"/>
        <w:tblBorders>
          <w:top w:val="single" w:color="AAB7B8" w:sz="4"/>
          <w:left w:val="single" w:color="AAB7B8" w:sz="4"/>
          <w:bottom w:val="single" w:color="AAB7B8" w:sz="4"/>
          <w:right w:val="single" w:color="AAB7B8" w:sz="4"/>
          <w:insideH w:val="single" w:color="AAB7B8" w:sz="4"/>
          <w:insideV w:val="single" w:color="AAB7B8" w:sz="4"/>
        </w:tblBorders>
      </w:tblPr>
      <w:tblGrid>
        <w:gridCol w:w="2200"/>
        <w:gridCol w:w="3600"/>
        <w:gridCol w:w="3500"/>
      </w:tblGrid>
      <w:tr>
        <w:trPr>
          <w:tblHeader/>
        </w:trPr>
        <w:tc>
          <w:tcPr>
            <w:tcW w:type="dxa" w:w="22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Method &amp; path</w:t>
            </w:r>
          </w:p>
        </w:tc>
        <w:tc>
          <w:tcPr>
            <w:tcW w:type="dxa" w:w="36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Purpose</w:t>
            </w:r>
          </w:p>
        </w:tc>
        <w:tc>
          <w:tcPr>
            <w:tcW w:type="dxa" w:w="35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Notes</w:t>
            </w:r>
          </w:p>
        </w:tc>
      </w:tr>
      <w:tr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POST /v1/notifications</w:t>
            </w:r>
          </w:p>
        </w:tc>
        <w:tc>
          <w:tcPr>
            <w:tcW w:type="dxa" w:w="36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Send a notification</w:t>
            </w:r>
          </w:p>
        </w:tc>
        <w:tc>
          <w:tcPr>
            <w:tcW w:type="dxa" w:w="35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Async; returns requestId immediately</w:t>
            </w:r>
          </w:p>
        </w:tc>
      </w:tr>
      <w:tr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GET /v1/notifications/{id}</w:t>
            </w:r>
          </w:p>
        </w:tc>
        <w:tc>
          <w:tcPr>
            <w:tcW w:type="dxa" w:w="36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Delivery status</w:t>
            </w:r>
          </w:p>
        </w:tc>
        <w:tc>
          <w:tcPr>
            <w:tcW w:type="dxa" w:w="35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Includes retry history</w:t>
            </w:r>
          </w:p>
        </w:tc>
      </w:tr>
    </w:tbl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5. Events</w:t>
      </w:r>
    </w:p>
    <w:p>
      <w:pPr>
        <w:pStyle w:val="Heading2"/>
        <w:spacing w:after="120" w:before="280"/>
      </w:pPr>
      <w:r>
        <w:rPr>
          <w:b/>
          <w:bCs/>
          <w:color w:val="12766A"/>
          <w:sz w:val="25"/>
          <w:szCs w:val="25"/>
        </w:rPr>
        <w:t xml:space="preserve">5.1 Published</w:t>
      </w:r>
    </w:p>
    <w:tbl>
      <w:tblPr>
        <w:tblW w:type="dxa" w:w="9300"/>
        <w:tblBorders>
          <w:top w:val="single" w:color="AAB7B8" w:sz="4"/>
          <w:left w:val="single" w:color="AAB7B8" w:sz="4"/>
          <w:bottom w:val="single" w:color="AAB7B8" w:sz="4"/>
          <w:right w:val="single" w:color="AAB7B8" w:sz="4"/>
          <w:insideH w:val="single" w:color="AAB7B8" w:sz="4"/>
          <w:insideV w:val="single" w:color="AAB7B8" w:sz="4"/>
        </w:tblBorders>
      </w:tblPr>
      <w:tblGrid>
        <w:gridCol w:w="2600"/>
        <w:gridCol w:w="3200"/>
        <w:gridCol w:w="3500"/>
      </w:tblGrid>
      <w:tr>
        <w:trPr>
          <w:tblHeader/>
        </w:trPr>
        <w:tc>
          <w:tcPr>
            <w:tcW w:type="dxa" w:w="26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Topic</w:t>
            </w:r>
          </w:p>
        </w:tc>
        <w:tc>
          <w:tcPr>
            <w:tcW w:type="dxa" w:w="32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Emitted when</w:t>
            </w:r>
          </w:p>
        </w:tc>
        <w:tc>
          <w:tcPr>
            <w:tcW w:type="dxa" w:w="35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Key payload fields</w:t>
            </w:r>
          </w:p>
        </w:tc>
      </w:tr>
      <w:tr>
        <w:tc>
          <w:tcPr>
            <w:tcW w:type="dxa" w:w="26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notification.dispatched.v1 / .failed.v1</w:t>
            </w:r>
          </w:p>
        </w:tc>
        <w:tc>
          <w:tcPr>
            <w:tcW w:type="dxa" w:w="3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Delivery outcome</w:t>
            </w:r>
          </w:p>
        </w:tc>
        <w:tc>
          <w:tcPr>
            <w:tcW w:type="dxa" w:w="35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request_id, channel, status</w:t>
            </w:r>
          </w:p>
        </w:tc>
      </w:tr>
    </w:tbl>
    <w:p>
      <w:pPr>
        <w:pStyle w:val="Heading2"/>
        <w:spacing w:after="120" w:before="280"/>
      </w:pPr>
      <w:r>
        <w:rPr>
          <w:b/>
          <w:bCs/>
          <w:color w:val="12766A"/>
          <w:sz w:val="25"/>
          <w:szCs w:val="25"/>
        </w:rPr>
        <w:t xml:space="preserve">5.2 Consumed</w:t>
      </w:r>
    </w:p>
    <w:tbl>
      <w:tblPr>
        <w:tblW w:type="dxa" w:w="9300"/>
        <w:tblBorders>
          <w:top w:val="single" w:color="AAB7B8" w:sz="4"/>
          <w:left w:val="single" w:color="AAB7B8" w:sz="4"/>
          <w:bottom w:val="single" w:color="AAB7B8" w:sz="4"/>
          <w:right w:val="single" w:color="AAB7B8" w:sz="4"/>
          <w:insideH w:val="single" w:color="AAB7B8" w:sz="4"/>
          <w:insideV w:val="single" w:color="AAB7B8" w:sz="4"/>
        </w:tblBorders>
      </w:tblPr>
      <w:tblGrid>
        <w:gridCol w:w="3200"/>
        <w:gridCol w:w="6100"/>
      </w:tblGrid>
      <w:tr>
        <w:trPr>
          <w:tblHeader/>
        </w:trPr>
        <w:tc>
          <w:tcPr>
            <w:tcW w:type="dxa" w:w="32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Topic</w:t>
            </w:r>
          </w:p>
        </w:tc>
        <w:tc>
          <w:tcPr>
            <w:tcW w:type="dxa" w:w="61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Reaction</w:t>
            </w:r>
          </w:p>
        </w:tc>
      </w:tr>
      <w:tr>
        <w:tc>
          <w:tcPr>
            <w:tcW w:type="dxa" w:w="3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payments.transfer.completed.v1, screening.case.opened.v1, identity.verification.completed.v1</w:t>
            </w:r>
          </w:p>
        </w:tc>
        <w:tc>
          <w:tcPr>
            <w:tcW w:type="dxa" w:w="61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Any domain event configured to trigger a notification template</w:t>
            </w:r>
          </w:p>
        </w:tc>
      </w:tr>
    </w:tbl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6. Data Model (Core Tables)</w:t>
      </w:r>
    </w:p>
    <w:tbl>
      <w:tblPr>
        <w:tblW w:type="dxa" w:w="9300"/>
        <w:tblBorders>
          <w:top w:val="single" w:color="AAB7B8" w:sz="4"/>
          <w:left w:val="single" w:color="AAB7B8" w:sz="4"/>
          <w:bottom w:val="single" w:color="AAB7B8" w:sz="4"/>
          <w:right w:val="single" w:color="AAB7B8" w:sz="4"/>
          <w:insideH w:val="single" w:color="AAB7B8" w:sz="4"/>
          <w:insideV w:val="single" w:color="AAB7B8" w:sz="4"/>
        </w:tblBorders>
      </w:tblPr>
      <w:tblGrid>
        <w:gridCol w:w="2200"/>
        <w:gridCol w:w="3600"/>
        <w:gridCol w:w="3500"/>
      </w:tblGrid>
      <w:tr>
        <w:trPr>
          <w:tblHeader/>
        </w:trPr>
        <w:tc>
          <w:tcPr>
            <w:tcW w:type="dxa" w:w="22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Table</w:t>
            </w:r>
          </w:p>
        </w:tc>
        <w:tc>
          <w:tcPr>
            <w:tcW w:type="dxa" w:w="36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Key columns</w:t>
            </w:r>
          </w:p>
        </w:tc>
        <w:tc>
          <w:tcPr>
            <w:tcW w:type="dxa" w:w="35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Notes</w:t>
            </w:r>
          </w:p>
        </w:tc>
      </w:tr>
      <w:tr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notification_requests</w:t>
            </w:r>
          </w:p>
        </w:tc>
        <w:tc>
          <w:tcPr>
            <w:tcW w:type="dxa" w:w="36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id, tenant_id, customer_id, template_key, status</w:t>
            </w:r>
          </w:p>
        </w:tc>
        <w:tc>
          <w:tcPr>
            <w:tcW w:type="dxa" w:w="35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Partitioned by tenant + month</w:t>
            </w:r>
          </w:p>
        </w:tc>
      </w:tr>
      <w:tr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templates</w:t>
            </w:r>
          </w:p>
        </w:tc>
        <w:tc>
          <w:tcPr>
            <w:tcW w:type="dxa" w:w="36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id, tenant_id, locale, key, content</w:t>
            </w:r>
          </w:p>
        </w:tc>
        <w:tc>
          <w:tcPr>
            <w:tcW w:type="dxa" w:w="35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Tenant override layered over the base-locale bundle per §7.2</w:t>
            </w:r>
          </w:p>
        </w:tc>
      </w:tr>
    </w:tbl>
    <w:tbl>
      <w:tblPr>
        <w:tblW w:type="dxa" w:w="9350"/>
        <w:tblBorders>
          <w:top w:val="single" w:color="12766A" w:sz="4"/>
          <w:left w:val="single" w:color="12766A" w:sz="4"/>
          <w:bottom w:val="single" w:color="12766A" w:sz="4"/>
          <w:right w:val="single" w:color="12766A" w:sz="4"/>
          <w:insideH w:val="single" w:color="12766A" w:sz="4"/>
          <w:insideV w:val="single" w:color="12766A" w:sz="4"/>
        </w:tblBorders>
      </w:tblPr>
      <w:tblGrid>
        <w:gridCol w:w="100"/>
      </w:tblGrid>
      <w:tr>
        <w:tc>
          <w:tcPr>
            <w:tcW w:type="dxa" w:w="9350"/>
            <w:shd w:fill="EAF2F8" w:val="clear"/>
            <w:tcMar>
              <w:top w:type="dxa" w:w="140"/>
              <w:left w:type="dxa" w:w="180"/>
              <w:bottom w:type="dxa" w:w="140"/>
              <w:right w:type="dxa" w:w="180"/>
            </w:tcMar>
          </w:tcPr>
          <w:p>
            <w:pPr>
              <w:spacing w:after="0" w:line="276"/>
            </w:pPr>
            <w:r>
              <w:rPr>
                <w:b/>
                <w:bCs/>
                <w:color w:val="12766A"/>
                <w:sz w:val="21"/>
                <w:szCs w:val="21"/>
              </w:rPr>
              <w:t xml:space="preserve">Tenant isolation.  </w:t>
            </w:r>
            <w:r>
              <w:rPr>
                <w:sz w:val="21"/>
                <w:szCs w:val="21"/>
              </w:rPr>
              <w:t xml:space="preserve">This service's tables are isolated per the platform-wide tenant tier model (database-per-tenant for Enterprise, schema-per-tenant for Standard, pooled + RLS for Starter/Sandbox). Every table carries a tenant_id column even under silo/bridge isolation, for defence-in-depth and consistent tooling.</w:t>
            </w:r>
          </w:p>
        </w:tc>
      </w:tr>
    </w:tbl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7. Configuration and Compliance Interaction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Which events trigger which template, and via which channel, is tenant-scoped configuration.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Sender identity (from-address, SMS sender ID) is a per-tenant configuration value bound to the Notification Adapter.</w:t>
      </w:r>
    </w:p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8. Non-Functional Requirements</w:t>
      </w:r>
    </w:p>
    <w:tbl>
      <w:tblPr>
        <w:tblW w:type="dxa" w:w="9300"/>
        <w:tblBorders>
          <w:top w:val="single" w:color="AAB7B8" w:sz="4"/>
          <w:left w:val="single" w:color="AAB7B8" w:sz="4"/>
          <w:bottom w:val="single" w:color="AAB7B8" w:sz="4"/>
          <w:right w:val="single" w:color="AAB7B8" w:sz="4"/>
          <w:insideH w:val="single" w:color="AAB7B8" w:sz="4"/>
          <w:insideV w:val="single" w:color="AAB7B8" w:sz="4"/>
        </w:tblBorders>
      </w:tblPr>
      <w:tblGrid>
        <w:gridCol w:w="3200"/>
        <w:gridCol w:w="6100"/>
      </w:tblGrid>
      <w:tr>
        <w:trPr>
          <w:tblHeader/>
        </w:trPr>
        <w:tc>
          <w:tcPr>
            <w:tcW w:type="dxa" w:w="32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Attribute</w:t>
            </w:r>
          </w:p>
        </w:tc>
        <w:tc>
          <w:tcPr>
            <w:tcW w:type="dxa" w:w="61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Target</w:t>
            </w:r>
          </w:p>
        </w:tc>
      </w:tr>
      <w:tr>
        <w:tc>
          <w:tcPr>
            <w:tcW w:type="dxa" w:w="3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Dispatch latency</w:t>
            </w:r>
          </w:p>
        </w:tc>
        <w:tc>
          <w:tcPr>
            <w:tcW w:type="dxa" w:w="61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p99 &lt; 3 seconds from trigger to provider handoff</w:t>
            </w:r>
          </w:p>
        </w:tc>
      </w:tr>
      <w:tr>
        <w:tc>
          <w:tcPr>
            <w:tcW w:type="dxa" w:w="3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Delivery tracking accuracy</w:t>
            </w:r>
          </w:p>
        </w:tc>
        <w:tc>
          <w:tcPr>
            <w:tcW w:type="dxa" w:w="61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Reconciled against provider delivery receipts where the channel supports them</w:t>
            </w:r>
          </w:p>
        </w:tc>
      </w:tr>
    </w:tbl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9. Dependencies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Notification/Messaging Adapter (21)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Triggered by domain events from every other service</w:t>
      </w:r>
    </w:p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10. Technology Stack for This Service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Node.js 22 + NestJS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PostgreSQL 16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Kafka consumer for event-triggered notifications</w:t>
      </w:r>
    </w:p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11. Open Questions and Risks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Template/locale fallback silently hiding a missing translation — mitigated by reporting missing-key fallbacks to a translation-ops dashboard rather than only logging them, per §7.2 of the master blueprint.</w:t>
      </w:r>
    </w:p>
    <w:sectPr>
      <w:headerReference w:type="default" r:id="rId7"/>
      <w:footerReference w:type="default" r:id="rId8"/>
      <w:pgSz w:w="12240" w:h="15840" w:orient="portrait"/>
      <w:pgMar w:top="1080" w:right="1080" w:bottom="108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color w:val="5D6D7E"/>
        <w:sz w:val="16"/>
        <w:szCs w:val="16"/>
      </w:rPr>
      <w:t xml:space="preserve">Confidential — Internal Use   ·   Page </w:t>
    </w:r>
    <w:r>
      <w:rPr>
        <w:color w:val="5D6D7E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color w:val="5D6D7E"/>
        <w:sz w:val="16"/>
        <w:szCs w:val="16"/>
      </w:rPr>
      <w:t xml:space="preserve"> of </w:t>
    </w:r>
    <w:r>
      <w:rPr>
        <w:color w:val="5D6D7E"/>
        <w:sz w:val="16"/>
        <w:szCs w:val="16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color w:val="5D6D7E"/>
        <w:sz w:val="16"/>
        <w:szCs w:val="16"/>
      </w:rPr>
      <w:t xml:space="preserve">Document 13 — Notification Service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decimal"/>
      <w:lvlText w:val="%1."/>
      <w:lvlJc w:val="start"/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2026-07-06T12:24:05.369Z</dcterms:created>
  <dcterms:modified xsi:type="dcterms:W3CDTF">2026-07-06T12:24:05.369Z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