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400"/>
        <w:jc w:val="center"/>
      </w:pPr>
      <w:r>
        <w:rPr>
          <w:b/>
          <w:bCs/>
          <w:color w:val="12766A"/>
          <w:sz w:val="22"/>
          <w:szCs w:val="22"/>
        </w:rPr>
        <w:t xml:space="preserve">ADAPTER / SPI SPECIFICATION · DOCUMENT 18</w:t>
      </w:r>
    </w:p>
    <w:p>
      <w:pPr>
        <w:spacing w:after="120" w:before="120"/>
        <w:jc w:val="center"/>
      </w:pPr>
      <w:r>
        <w:rPr>
          <w:b/>
          <w:bCs/>
          <w:color w:val="0B2447"/>
          <w:sz w:val="44"/>
          <w:szCs w:val="44"/>
        </w:rPr>
        <w:t xml:space="preserve">Core Banking Host Adapter Specification</w:t>
      </w:r>
    </w:p>
    <w:p>
      <w:pPr>
        <w:spacing w:after="200"/>
        <w:jc w:val="center"/>
      </w:pPr>
      <w:r>
        <w:rPr>
          <w:b/>
          <w:bCs/>
          <w:color w:val="12766A"/>
          <w:sz w:val="26"/>
          <w:szCs w:val="26"/>
        </w:rPr>
        <w:t xml:space="preserve">CoreBankingPort implementations for tenants that route through an existing core-banking system</w:t>
      </w:r>
    </w:p>
    <w:p>
      <w:pPr>
        <w:spacing w:after="300"/>
        <w:jc w:val="center"/>
      </w:pPr>
      <w:r>
        <w:rPr>
          <w:i/>
          <w:iCs/>
          <w:color w:val="5D6D7E"/>
          <w:sz w:val="21"/>
          <w:szCs w:val="21"/>
        </w:rPr>
        <w:t xml:space="preserve">Lets a tenant that already operates a core-banking host keep it as the system of record for certain products, while the platform still orchestrates the customer journey.</w:t>
      </w:r>
    </w:p>
    <w:p>
      <w:pPr>
        <w:pBdr>
          <w:bottom w:val="single" w:color="B9770E" w:sz="12" w:space="8"/>
        </w:pBdr>
        <w:spacing w:after="300"/>
      </w:pPr>
    </w:p>
    <w:tbl>
      <w:tblPr>
        <w:tblW w:type="dxa" w:w="9350"/>
        <w:tblBorders>
          <w:top w:val="single" w:color="AAB7B8" w:sz="4"/>
          <w:left w:val="single" w:color="AAB7B8" w:sz="4"/>
          <w:bottom w:val="single" w:color="AAB7B8" w:sz="4"/>
          <w:right w:val="single" w:color="AAB7B8" w:sz="4"/>
          <w:insideH w:val="single" w:color="AAB7B8" w:sz="4"/>
          <w:insideV w:val="single" w:color="AAB7B8" w:sz="4"/>
        </w:tblBorders>
      </w:tblPr>
      <w:tblGrid>
        <w:gridCol w:w="2400"/>
        <w:gridCol w:w="6950"/>
      </w:tblGrid>
      <w:tr>
        <w:trPr>
          <w:tblHeader/>
        </w:trPr>
        <w:tc>
          <w:tcPr>
            <w:tcW w:type="dxa" w:w="2400"/>
            <w:shd w:fill="0B2447" w:val="clear"/>
            <w:tcMar>
              <w:top w:type="dxa" w:w="100"/>
              <w:left w:type="dxa" w:w="120"/>
              <w:bottom w:type="dxa" w:w="100"/>
              <w:right w:type="dxa" w:w="120"/>
            </w:tcMar>
            <w:vAlign w:val="center"/>
          </w:tcPr>
          <w:p>
            <w:pPr>
              <w:spacing w:after="0" w:line="260"/>
            </w:pPr>
            <w:r>
              <w:rPr>
                <w:b/>
                <w:bCs/>
                <w:color w:val="FFFFFF"/>
                <w:sz w:val="19"/>
                <w:szCs w:val="19"/>
              </w:rPr>
              <w:t xml:space="preserve">Field</w:t>
            </w:r>
          </w:p>
        </w:tc>
        <w:tc>
          <w:tcPr>
            <w:tcW w:type="dxa" w:w="6950"/>
            <w:shd w:fill="0B2447" w:val="clear"/>
            <w:tcMar>
              <w:top w:type="dxa" w:w="100"/>
              <w:left w:type="dxa" w:w="120"/>
              <w:bottom w:type="dxa" w:w="100"/>
              <w:right w:type="dxa" w:w="120"/>
            </w:tcMar>
            <w:vAlign w:val="center"/>
          </w:tcPr>
          <w:p>
            <w:pPr>
              <w:spacing w:after="0" w:line="260"/>
            </w:pPr>
            <w:r>
              <w:rPr>
                <w:b/>
                <w:bCs/>
                <w:color w:val="FFFFFF"/>
                <w:sz w:val="19"/>
                <w:szCs w:val="19"/>
              </w:rPr>
              <w:t xml:space="preserve">Details</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Document title</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Core Banking Host Adapter Specification — Adapter Specification</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Part of</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Product Architecture Blueprint v3.0 — Multi-Tenant, Plug-and-Play Digital Banking &amp; Remittance Platform</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Port name</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CoreBankingPort</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Owning squad</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Payments &amp; Remittance</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Consumed by</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Payments &amp; Remittance Service (05)</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Version</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3.0 — Build-Ready Baseline</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Date</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2 July 2026</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Classification</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Confidential — Internal Use</w:t>
            </w:r>
          </w:p>
        </w:tc>
      </w:tr>
    </w:tbl>
    <w:p>
      <w:r>
        <w:br w:type="page"/>
      </w:r>
    </w:p>
    <w:p>
      <w:pPr>
        <w:pStyle w:val="Heading1"/>
        <w:pBdr>
          <w:bottom w:val="single" w:color="0B2447" w:sz="6" w:space="4"/>
        </w:pBdr>
        <w:spacing w:after="160" w:before="360"/>
      </w:pPr>
      <w:r>
        <w:rPr>
          <w:b/>
          <w:bCs/>
          <w:color w:val="0B2447"/>
          <w:sz w:val="30"/>
          <w:szCs w:val="30"/>
        </w:rPr>
        <w:t xml:space="preserve">1. Purpose</w:t>
      </w:r>
    </w:p>
    <w:p>
      <w:pPr>
        <w:spacing w:after="160" w:line="288"/>
        <w:jc w:val="left"/>
      </w:pPr>
      <w:r>
        <w:rPr>
          <w:sz w:val="21"/>
          <w:szCs w:val="21"/>
        </w:rPr>
        <w:t xml:space="preserve">Some Enterprise tenants require transactions to post through their existing core-banking host (for regulatory or operational reasons) rather than exclusively through the platform's own Ledger. This adapter translates platform commands into that host's messaging format (typically ISO 20022 or ISO 8583) and translates host responses back.</w:t>
      </w:r>
    </w:p>
    <w:p>
      <w:pPr>
        <w:pStyle w:val="Heading1"/>
        <w:pBdr>
          <w:bottom w:val="single" w:color="0B2447" w:sz="6" w:space="4"/>
        </w:pBdr>
        <w:spacing w:after="160" w:before="360"/>
      </w:pPr>
      <w:r>
        <w:rPr>
          <w:b/>
          <w:bCs/>
          <w:color w:val="0B2447"/>
          <w:sz w:val="30"/>
          <w:szCs w:val="30"/>
        </w:rPr>
        <w:t xml:space="preserve">2. Port Contract</w:t>
      </w:r>
    </w:p>
    <w:p>
      <w:pPr>
        <w:spacing w:after="160" w:line="288"/>
        <w:jc w:val="left"/>
      </w:pPr>
      <w:r>
        <w:rPr>
          <w:sz w:val="21"/>
          <w:szCs w:val="21"/>
        </w:rPr>
        <w:t xml:space="preserve">The port is owned by the domain and defined independently of any provider. Every adapter listed in §4 must implement this contract exactly; provider-specific behaviour is translated at the adapter boundary (anti-corruption layer) and must never leak into the domain.</w:t>
      </w:r>
    </w:p>
    <w:tbl>
      <w:tblPr>
        <w:tblW w:type="dxa" w:w="9100"/>
        <w:tblBorders>
          <w:top w:val="single" w:color="AAB7B8" w:sz="4"/>
          <w:left w:val="single" w:color="AAB7B8" w:sz="4"/>
          <w:bottom w:val="single" w:color="AAB7B8" w:sz="4"/>
          <w:right w:val="single" w:color="AAB7B8" w:sz="4"/>
          <w:insideH w:val="single" w:color="AAB7B8" w:sz="4"/>
          <w:insideV w:val="single" w:color="AAB7B8" w:sz="4"/>
        </w:tblBorders>
      </w:tblPr>
      <w:tblGrid>
        <w:gridCol w:w="2000"/>
        <w:gridCol w:w="2400"/>
        <w:gridCol w:w="2200"/>
        <w:gridCol w:w="2500"/>
      </w:tblGrid>
      <w:tr>
        <w:trPr>
          <w:tblHeader/>
        </w:trPr>
        <w:tc>
          <w:tcPr>
            <w:tcW w:type="dxa" w:w="2000"/>
            <w:shd w:fill="0B2447" w:val="clear"/>
            <w:tcMar>
              <w:top w:type="dxa" w:w="100"/>
              <w:left w:type="dxa" w:w="120"/>
              <w:bottom w:type="dxa" w:w="100"/>
              <w:right w:type="dxa" w:w="120"/>
            </w:tcMar>
            <w:vAlign w:val="center"/>
          </w:tcPr>
          <w:p>
            <w:pPr>
              <w:spacing w:after="0" w:line="260"/>
            </w:pPr>
            <w:r>
              <w:rPr>
                <w:b/>
                <w:bCs/>
                <w:color w:val="FFFFFF"/>
                <w:sz w:val="19"/>
                <w:szCs w:val="19"/>
              </w:rPr>
              <w:t xml:space="preserve">Method</w:t>
            </w:r>
          </w:p>
        </w:tc>
        <w:tc>
          <w:tcPr>
            <w:tcW w:type="dxa" w:w="2400"/>
            <w:shd w:fill="0B2447" w:val="clear"/>
            <w:tcMar>
              <w:top w:type="dxa" w:w="100"/>
              <w:left w:type="dxa" w:w="120"/>
              <w:bottom w:type="dxa" w:w="100"/>
              <w:right w:type="dxa" w:w="120"/>
            </w:tcMar>
            <w:vAlign w:val="center"/>
          </w:tcPr>
          <w:p>
            <w:pPr>
              <w:spacing w:after="0" w:line="260"/>
            </w:pPr>
            <w:r>
              <w:rPr>
                <w:b/>
                <w:bCs/>
                <w:color w:val="FFFFFF"/>
                <w:sz w:val="19"/>
                <w:szCs w:val="19"/>
              </w:rPr>
              <w:t xml:space="preserve">Input</w:t>
            </w:r>
          </w:p>
        </w:tc>
        <w:tc>
          <w:tcPr>
            <w:tcW w:type="dxa" w:w="2200"/>
            <w:shd w:fill="0B2447" w:val="clear"/>
            <w:tcMar>
              <w:top w:type="dxa" w:w="100"/>
              <w:left w:type="dxa" w:w="120"/>
              <w:bottom w:type="dxa" w:w="100"/>
              <w:right w:type="dxa" w:w="120"/>
            </w:tcMar>
            <w:vAlign w:val="center"/>
          </w:tcPr>
          <w:p>
            <w:pPr>
              <w:spacing w:after="0" w:line="260"/>
            </w:pPr>
            <w:r>
              <w:rPr>
                <w:b/>
                <w:bCs/>
                <w:color w:val="FFFFFF"/>
                <w:sz w:val="19"/>
                <w:szCs w:val="19"/>
              </w:rPr>
              <w:t xml:space="preserve">Output</w:t>
            </w:r>
          </w:p>
        </w:tc>
        <w:tc>
          <w:tcPr>
            <w:tcW w:type="dxa" w:w="2500"/>
            <w:shd w:fill="0B2447" w:val="clear"/>
            <w:tcMar>
              <w:top w:type="dxa" w:w="100"/>
              <w:left w:type="dxa" w:w="120"/>
              <w:bottom w:type="dxa" w:w="100"/>
              <w:right w:type="dxa" w:w="120"/>
            </w:tcMar>
            <w:vAlign w:val="center"/>
          </w:tcPr>
          <w:p>
            <w:pPr>
              <w:spacing w:after="0" w:line="260"/>
            </w:pPr>
            <w:r>
              <w:rPr>
                <w:b/>
                <w:bCs/>
                <w:color w:val="FFFFFF"/>
                <w:sz w:val="19"/>
                <w:szCs w:val="19"/>
              </w:rPr>
              <w:t xml:space="preserve">Notes</w:t>
            </w:r>
          </w:p>
        </w:tc>
      </w:tr>
      <w:tr>
        <w:tc>
          <w:tcPr>
            <w:tcW w:type="dxa" w:w="20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postTransaction(hostAccountRef, amount, reference)</w:t>
            </w:r>
          </w:p>
        </w:tc>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Host account reference + amount</w:t>
            </w:r>
          </w:p>
        </w:tc>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HostTransactionRef + status</w:t>
            </w:r>
          </w:p>
        </w:tc>
        <w:tc>
          <w:tcPr>
            <w:tcW w:type="dxa" w:w="2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Wraps the host's native posting message format</w:t>
            </w:r>
          </w:p>
        </w:tc>
      </w:tr>
      <w:tr>
        <w:tc>
          <w:tcPr>
            <w:tcW w:type="dxa" w:w="20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getAccountStatus(hostAccountRef)</w:t>
            </w:r>
          </w:p>
        </w:tc>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Host account reference</w:t>
            </w:r>
          </w:p>
        </w:tc>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Balance + status from the host</w:t>
            </w:r>
          </w:p>
        </w:tc>
        <w:tc>
          <w:tcPr>
            <w:tcW w:type="dxa" w:w="2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Used to reconcile platform and host views (Document 09)</w:t>
            </w:r>
          </w:p>
        </w:tc>
      </w:tr>
      <w:tr>
        <w:tc>
          <w:tcPr>
            <w:tcW w:type="dxa" w:w="20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reverseTransaction(hostTransactionRef, reason)</w:t>
            </w:r>
          </w:p>
        </w:tc>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Host transaction reference</w:t>
            </w:r>
          </w:p>
        </w:tc>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Reversal confirmation</w:t>
            </w:r>
          </w:p>
        </w:tc>
        <w:tc>
          <w:tcPr>
            <w:tcW w:type="dxa" w:w="2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Host-native reversal, mapped back to a platform Ledger reversal event</w:t>
            </w:r>
          </w:p>
        </w:tc>
      </w:tr>
    </w:tbl>
    <w:p>
      <w:pPr>
        <w:pStyle w:val="Heading1"/>
        <w:pBdr>
          <w:bottom w:val="single" w:color="0B2447" w:sz="6" w:space="4"/>
        </w:pBdr>
        <w:spacing w:after="160" w:before="360"/>
      </w:pPr>
      <w:r>
        <w:rPr>
          <w:b/>
          <w:bCs/>
          <w:color w:val="0B2447"/>
          <w:sz w:val="30"/>
          <w:szCs w:val="30"/>
        </w:rPr>
        <w:t xml:space="preserve">3. Configuration Schema (Per Tenant / Region)</w:t>
      </w:r>
    </w:p>
    <w:tbl>
      <w:tblPr>
        <w:tblW w:type="dxa" w:w="9100"/>
        <w:tblBorders>
          <w:top w:val="single" w:color="AAB7B8" w:sz="4"/>
          <w:left w:val="single" w:color="AAB7B8" w:sz="4"/>
          <w:bottom w:val="single" w:color="AAB7B8" w:sz="4"/>
          <w:right w:val="single" w:color="AAB7B8" w:sz="4"/>
          <w:insideH w:val="single" w:color="AAB7B8" w:sz="4"/>
          <w:insideV w:val="single" w:color="AAB7B8" w:sz="4"/>
        </w:tblBorders>
      </w:tblPr>
      <w:tblGrid>
        <w:gridCol w:w="2000"/>
        <w:gridCol w:w="1400"/>
        <w:gridCol w:w="1400"/>
        <w:gridCol w:w="4300"/>
      </w:tblGrid>
      <w:tr>
        <w:trPr>
          <w:tblHeader/>
        </w:trPr>
        <w:tc>
          <w:tcPr>
            <w:tcW w:type="dxa" w:w="2000"/>
            <w:shd w:fill="0B2447" w:val="clear"/>
            <w:tcMar>
              <w:top w:type="dxa" w:w="100"/>
              <w:left w:type="dxa" w:w="120"/>
              <w:bottom w:type="dxa" w:w="100"/>
              <w:right w:type="dxa" w:w="120"/>
            </w:tcMar>
            <w:vAlign w:val="center"/>
          </w:tcPr>
          <w:p>
            <w:pPr>
              <w:spacing w:after="0" w:line="260"/>
            </w:pPr>
            <w:r>
              <w:rPr>
                <w:b/>
                <w:bCs/>
                <w:color w:val="FFFFFF"/>
                <w:sz w:val="19"/>
                <w:szCs w:val="19"/>
              </w:rPr>
              <w:t xml:space="preserve">Setting</w:t>
            </w:r>
          </w:p>
        </w:tc>
        <w:tc>
          <w:tcPr>
            <w:tcW w:type="dxa" w:w="1400"/>
            <w:shd w:fill="0B2447" w:val="clear"/>
            <w:tcMar>
              <w:top w:type="dxa" w:w="100"/>
              <w:left w:type="dxa" w:w="120"/>
              <w:bottom w:type="dxa" w:w="100"/>
              <w:right w:type="dxa" w:w="120"/>
            </w:tcMar>
            <w:vAlign w:val="center"/>
          </w:tcPr>
          <w:p>
            <w:pPr>
              <w:spacing w:after="0" w:line="260"/>
            </w:pPr>
            <w:r>
              <w:rPr>
                <w:b/>
                <w:bCs/>
                <w:color w:val="FFFFFF"/>
                <w:sz w:val="19"/>
                <w:szCs w:val="19"/>
              </w:rPr>
              <w:t xml:space="preserve">Type</w:t>
            </w:r>
          </w:p>
        </w:tc>
        <w:tc>
          <w:tcPr>
            <w:tcW w:type="dxa" w:w="1400"/>
            <w:shd w:fill="0B2447" w:val="clear"/>
            <w:tcMar>
              <w:top w:type="dxa" w:w="100"/>
              <w:left w:type="dxa" w:w="120"/>
              <w:bottom w:type="dxa" w:w="100"/>
              <w:right w:type="dxa" w:w="120"/>
            </w:tcMar>
            <w:vAlign w:val="center"/>
          </w:tcPr>
          <w:p>
            <w:pPr>
              <w:spacing w:after="0" w:line="260"/>
            </w:pPr>
            <w:r>
              <w:rPr>
                <w:b/>
                <w:bCs/>
                <w:color w:val="FFFFFF"/>
                <w:sz w:val="19"/>
                <w:szCs w:val="19"/>
              </w:rPr>
              <w:t xml:space="preserve">Scope</w:t>
            </w:r>
          </w:p>
        </w:tc>
        <w:tc>
          <w:tcPr>
            <w:tcW w:type="dxa" w:w="4300"/>
            <w:shd w:fill="0B2447" w:val="clear"/>
            <w:tcMar>
              <w:top w:type="dxa" w:w="100"/>
              <w:left w:type="dxa" w:w="120"/>
              <w:bottom w:type="dxa" w:w="100"/>
              <w:right w:type="dxa" w:w="120"/>
            </w:tcMar>
            <w:vAlign w:val="center"/>
          </w:tcPr>
          <w:p>
            <w:pPr>
              <w:spacing w:after="0" w:line="260"/>
            </w:pPr>
            <w:r>
              <w:rPr>
                <w:b/>
                <w:bCs/>
                <w:color w:val="FFFFFF"/>
                <w:sz w:val="19"/>
                <w:szCs w:val="19"/>
              </w:rPr>
              <w:t xml:space="preserve">Description</w:t>
            </w:r>
          </w:p>
        </w:tc>
      </w:tr>
      <w:tr>
        <w:tc>
          <w:tcPr>
            <w:tcW w:type="dxa" w:w="20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host_type</w:t>
            </w:r>
          </w:p>
        </w:tc>
        <w:tc>
          <w:tcPr>
            <w:tcW w:type="dxa" w:w="1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enum</w:t>
            </w:r>
          </w:p>
        </w:tc>
        <w:tc>
          <w:tcPr>
            <w:tcW w:type="dxa" w:w="1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Tenant</w:t>
            </w:r>
          </w:p>
        </w:tc>
        <w:tc>
          <w:tcPr>
            <w:tcW w:type="dxa" w:w="43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Which core-banking host adapter implementation is bound</w:t>
            </w:r>
          </w:p>
        </w:tc>
      </w:tr>
      <w:tr>
        <w:tc>
          <w:tcPr>
            <w:tcW w:type="dxa" w:w="20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messaging_standard</w:t>
            </w:r>
          </w:p>
        </w:tc>
        <w:tc>
          <w:tcPr>
            <w:tcW w:type="dxa" w:w="1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enum(iso20022,iso8583,proprietary)</w:t>
            </w:r>
          </w:p>
        </w:tc>
        <w:tc>
          <w:tcPr>
            <w:tcW w:type="dxa" w:w="1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Tenant</w:t>
            </w:r>
          </w:p>
        </w:tc>
        <w:tc>
          <w:tcPr>
            <w:tcW w:type="dxa" w:w="43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Determines the message-mapping layer used</w:t>
            </w:r>
          </w:p>
        </w:tc>
      </w:tr>
      <w:tr>
        <w:tc>
          <w:tcPr>
            <w:tcW w:type="dxa" w:w="20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host_endpoint</w:t>
            </w:r>
          </w:p>
        </w:tc>
        <w:tc>
          <w:tcPr>
            <w:tcW w:type="dxa" w:w="1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URL/connection string</w:t>
            </w:r>
          </w:p>
        </w:tc>
        <w:tc>
          <w:tcPr>
            <w:tcW w:type="dxa" w:w="1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Tenant (secret, stored in Vault)</w:t>
            </w:r>
          </w:p>
        </w:tc>
        <w:tc>
          <w:tcPr>
            <w:tcW w:type="dxa" w:w="43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Never stored in plaintext configuration</w:t>
            </w:r>
          </w:p>
        </w:tc>
      </w:tr>
    </w:tbl>
    <w:p>
      <w:pPr>
        <w:pStyle w:val="Heading1"/>
        <w:pBdr>
          <w:bottom w:val="single" w:color="0B2447" w:sz="6" w:space="4"/>
        </w:pBdr>
        <w:spacing w:after="160" w:before="360"/>
      </w:pPr>
      <w:r>
        <w:rPr>
          <w:b/>
          <w:bCs/>
          <w:color w:val="0B2447"/>
          <w:sz w:val="30"/>
          <w:szCs w:val="30"/>
        </w:rPr>
        <w:t xml:space="preserve">4. Candidate Providers</w:t>
      </w:r>
    </w:p>
    <w:tbl>
      <w:tblPr>
        <w:tblW w:type="dxa" w:w="9100"/>
        <w:tblBorders>
          <w:top w:val="single" w:color="AAB7B8" w:sz="4"/>
          <w:left w:val="single" w:color="AAB7B8" w:sz="4"/>
          <w:bottom w:val="single" w:color="AAB7B8" w:sz="4"/>
          <w:right w:val="single" w:color="AAB7B8" w:sz="4"/>
          <w:insideH w:val="single" w:color="AAB7B8" w:sz="4"/>
          <w:insideV w:val="single" w:color="AAB7B8" w:sz="4"/>
        </w:tblBorders>
      </w:tblPr>
      <w:tblGrid>
        <w:gridCol w:w="2200"/>
        <w:gridCol w:w="3450"/>
        <w:gridCol w:w="3450"/>
      </w:tblGrid>
      <w:tr>
        <w:trPr>
          <w:tblHeader/>
        </w:trPr>
        <w:tc>
          <w:tcPr>
            <w:tcW w:type="dxa" w:w="2200"/>
            <w:shd w:fill="0B2447" w:val="clear"/>
            <w:tcMar>
              <w:top w:type="dxa" w:w="100"/>
              <w:left w:type="dxa" w:w="120"/>
              <w:bottom w:type="dxa" w:w="100"/>
              <w:right w:type="dxa" w:w="120"/>
            </w:tcMar>
            <w:vAlign w:val="center"/>
          </w:tcPr>
          <w:p>
            <w:pPr>
              <w:spacing w:after="0" w:line="260"/>
            </w:pPr>
            <w:r>
              <w:rPr>
                <w:b/>
                <w:bCs/>
                <w:color w:val="FFFFFF"/>
                <w:sz w:val="19"/>
                <w:szCs w:val="19"/>
              </w:rPr>
              <w:t xml:space="preserve">Provider (illustrative)</w:t>
            </w:r>
          </w:p>
        </w:tc>
        <w:tc>
          <w:tcPr>
            <w:tcW w:type="dxa" w:w="3450"/>
            <w:shd w:fill="0B2447" w:val="clear"/>
            <w:tcMar>
              <w:top w:type="dxa" w:w="100"/>
              <w:left w:type="dxa" w:w="120"/>
              <w:bottom w:type="dxa" w:w="100"/>
              <w:right w:type="dxa" w:w="120"/>
            </w:tcMar>
            <w:vAlign w:val="center"/>
          </w:tcPr>
          <w:p>
            <w:pPr>
              <w:spacing w:after="0" w:line="260"/>
            </w:pPr>
            <w:r>
              <w:rPr>
                <w:b/>
                <w:bCs/>
                <w:color w:val="FFFFFF"/>
                <w:sz w:val="19"/>
                <w:szCs w:val="19"/>
              </w:rPr>
              <w:t xml:space="preserve">Strengths</w:t>
            </w:r>
          </w:p>
        </w:tc>
        <w:tc>
          <w:tcPr>
            <w:tcW w:type="dxa" w:w="3450"/>
            <w:shd w:fill="0B2447" w:val="clear"/>
            <w:tcMar>
              <w:top w:type="dxa" w:w="100"/>
              <w:left w:type="dxa" w:w="120"/>
              <w:bottom w:type="dxa" w:w="100"/>
              <w:right w:type="dxa" w:w="120"/>
            </w:tcMar>
            <w:vAlign w:val="center"/>
          </w:tcPr>
          <w:p>
            <w:pPr>
              <w:spacing w:after="0" w:line="260"/>
            </w:pPr>
            <w:r>
              <w:rPr>
                <w:b/>
                <w:bCs/>
                <w:color w:val="FFFFFF"/>
                <w:sz w:val="19"/>
                <w:szCs w:val="19"/>
              </w:rPr>
              <w:t xml:space="preserve">Trade-offs / watch-outs</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ISO 20022-native modern core-banking platform</w:t>
            </w:r>
          </w:p>
        </w:tc>
        <w:tc>
          <w:tcPr>
            <w:tcW w:type="dxa" w:w="34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Standardised messaging, easier mapping, good API tooling</w:t>
            </w:r>
          </w:p>
        </w:tc>
        <w:tc>
          <w:tcPr>
            <w:tcW w:type="dxa" w:w="34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Still requires per-institution configuration mapping (account schemes, reference formats)</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Legacy ISO 8583-based host (common in many regional banks)</w:t>
            </w:r>
          </w:p>
        </w:tc>
        <w:tc>
          <w:tcPr>
            <w:tcW w:type="dxa" w:w="34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Ubiquitous in existing bank infrastructure</w:t>
            </w:r>
          </w:p>
        </w:tc>
        <w:tc>
          <w:tcPr>
            <w:tcW w:type="dxa" w:w="34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Requires a more involved mapping layer; typically batch-oriented reconciliation rather than real-time confirmation</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A tenant-proprietary host with a custom API</w:t>
            </w:r>
          </w:p>
        </w:tc>
        <w:tc>
          <w:tcPr>
            <w:tcW w:type="dxa" w:w="34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Only option where the tenant's host predates any standard messaging adoption</w:t>
            </w:r>
          </w:p>
        </w:tc>
        <w:tc>
          <w:tcPr>
            <w:tcW w:type="dxa" w:w="34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Bespoke adapter per such tenant; budget meaningful integration effort and plan for it explicitly, not as a generic “adapter swap”</w:t>
            </w:r>
          </w:p>
        </w:tc>
      </w:tr>
    </w:tbl>
    <w:tbl>
      <w:tblPr>
        <w:tblW w:type="dxa" w:w="9350"/>
        <w:tblBorders>
          <w:top w:val="single" w:color="B9770E" w:sz="4"/>
          <w:left w:val="single" w:color="B9770E" w:sz="4"/>
          <w:bottom w:val="single" w:color="B9770E" w:sz="4"/>
          <w:right w:val="single" w:color="B9770E" w:sz="4"/>
          <w:insideH w:val="single" w:color="B9770E" w:sz="4"/>
          <w:insideV w:val="single" w:color="B9770E" w:sz="4"/>
        </w:tblBorders>
      </w:tblPr>
      <w:tblGrid>
        <w:gridCol w:w="100"/>
      </w:tblGrid>
      <w:tr>
        <w:tc>
          <w:tcPr>
            <w:tcW w:type="dxa" w:w="9350"/>
            <w:shd w:fill="FDEBD0" w:val="clear"/>
            <w:tcMar>
              <w:top w:type="dxa" w:w="140"/>
              <w:left w:type="dxa" w:w="180"/>
              <w:bottom w:type="dxa" w:w="140"/>
              <w:right w:type="dxa" w:w="180"/>
            </w:tcMar>
          </w:tcPr>
          <w:p>
            <w:pPr>
              <w:spacing w:after="0" w:line="276"/>
            </w:pPr>
            <w:r>
              <w:rPr>
                <w:b/>
                <w:bCs/>
                <w:color w:val="B9770E"/>
                <w:sz w:val="21"/>
                <w:szCs w:val="21"/>
              </w:rPr>
              <w:t xml:space="preserve">Note.  </w:t>
            </w:r>
            <w:r>
              <w:rPr>
                <w:sz w:val="21"/>
                <w:szCs w:val="21"/>
              </w:rPr>
              <w:t xml:space="preserve">Provider names are illustrative examples of the category, based on established industry practice as of the last training update, not a procurement recommendation. Commercial terms, regional licensing, and current capability must be verified directly with each vendor before selection.</w:t>
            </w:r>
          </w:p>
        </w:tc>
      </w:tr>
    </w:tbl>
    <w:p>
      <w:pPr>
        <w:pStyle w:val="Heading1"/>
        <w:pBdr>
          <w:bottom w:val="single" w:color="0B2447" w:sz="6" w:space="4"/>
        </w:pBdr>
        <w:spacing w:after="160" w:before="360"/>
      </w:pPr>
      <w:r>
        <w:rPr>
          <w:b/>
          <w:bCs/>
          <w:color w:val="0B2447"/>
          <w:sz w:val="30"/>
          <w:szCs w:val="30"/>
        </w:rPr>
        <w:t xml:space="preserve">5. Resilience and Error Handling</w:t>
      </w:r>
    </w:p>
    <w:p>
      <w:pPr>
        <w:pStyle w:val="ListParagraph"/>
        <w:numPr>
          <w:ilvl w:val="0"/>
          <w:numId w:val="1"/>
        </w:numPr>
        <w:spacing w:after="90" w:line="276"/>
      </w:pPr>
      <w:r>
        <w:rPr>
          <w:sz w:val="21"/>
          <w:szCs w:val="21"/>
        </w:rPr>
        <w:t xml:space="preserve">Circuit breaker with the transaction held in the Payments saga's “in flight” state (per §9.2 of the master blueprint) until the host confirms, rather than assuming success or failure.</w:t>
      </w:r>
    </w:p>
    <w:p>
      <w:pPr>
        <w:pStyle w:val="ListParagraph"/>
        <w:numPr>
          <w:ilvl w:val="0"/>
          <w:numId w:val="1"/>
        </w:numPr>
        <w:spacing w:after="90" w:line="276"/>
      </w:pPr>
      <w:r>
        <w:rPr>
          <w:sz w:val="21"/>
          <w:szCs w:val="21"/>
        </w:rPr>
        <w:t xml:space="preserve">Idempotent posting using a platform-generated reference the host is required to de-duplicate on, where the host supports it; otherwise, a reconciliation-based duplicate-detection fallback.</w:t>
      </w:r>
    </w:p>
    <w:p>
      <w:pPr>
        <w:pStyle w:val="ListParagraph"/>
        <w:numPr>
          <w:ilvl w:val="0"/>
          <w:numId w:val="1"/>
        </w:numPr>
        <w:spacing w:after="90" w:line="276"/>
      </w:pPr>
      <w:r>
        <w:rPr>
          <w:sz w:val="21"/>
          <w:szCs w:val="21"/>
        </w:rPr>
        <w:t xml:space="preserve">Batch/async reconciliation path for hosts that do not provide real-time confirmation.</w:t>
      </w:r>
    </w:p>
    <w:p>
      <w:pPr>
        <w:pStyle w:val="Heading1"/>
        <w:pBdr>
          <w:bottom w:val="single" w:color="0B2447" w:sz="6" w:space="4"/>
        </w:pBdr>
        <w:spacing w:after="160" w:before="360"/>
      </w:pPr>
      <w:r>
        <w:rPr>
          <w:b/>
          <w:bCs/>
          <w:color w:val="0B2447"/>
          <w:sz w:val="30"/>
          <w:szCs w:val="30"/>
        </w:rPr>
        <w:t xml:space="preserve">6. Certification Checklist</w:t>
      </w:r>
    </w:p>
    <w:p>
      <w:pPr>
        <w:spacing w:after="160" w:line="288"/>
        <w:jc w:val="left"/>
      </w:pPr>
      <w:r>
        <w:rPr>
          <w:sz w:val="21"/>
          <w:szCs w:val="21"/>
        </w:rPr>
        <w:t xml:space="preserve">An adapter cannot be bound to a live tenant until every item below passes in the sandbox environment against that adapter's configuration:</w:t>
      </w:r>
    </w:p>
    <w:p>
      <w:pPr>
        <w:pStyle w:val="ListParagraph"/>
        <w:numPr>
          <w:ilvl w:val="0"/>
          <w:numId w:val="1"/>
        </w:numPr>
        <w:spacing w:after="90" w:line="276"/>
      </w:pPr>
      <w:r>
        <w:rPr>
          <w:sz w:val="21"/>
          <w:szCs w:val="21"/>
        </w:rPr>
        <w:t xml:space="preserve">End-to-end posting and reversal verified against the tenant's host in a certified test environment before go-live.</w:t>
      </w:r>
    </w:p>
    <w:p>
      <w:pPr>
        <w:pStyle w:val="ListParagraph"/>
        <w:numPr>
          <w:ilvl w:val="0"/>
          <w:numId w:val="1"/>
        </w:numPr>
        <w:spacing w:after="90" w:line="276"/>
      </w:pPr>
      <w:r>
        <w:rPr>
          <w:sz w:val="21"/>
          <w:szCs w:val="21"/>
        </w:rPr>
        <w:t xml:space="preserve">Message-mapping correctness verified for every field the compliance pack or product requires (e.g. reference/narrative fields needed for regulatory reporting).</w:t>
      </w:r>
    </w:p>
    <w:p>
      <w:pPr>
        <w:pStyle w:val="ListParagraph"/>
        <w:numPr>
          <w:ilvl w:val="0"/>
          <w:numId w:val="1"/>
        </w:numPr>
        <w:spacing w:after="90" w:line="276"/>
      </w:pPr>
      <w:r>
        <w:rPr>
          <w:sz w:val="21"/>
          <w:szCs w:val="21"/>
        </w:rPr>
        <w:t xml:space="preserve">Reconciliation (Document 09) confirmed to correctly match host-side and platform-side records for this specific host integration.</w:t>
      </w:r>
    </w:p>
    <w:p>
      <w:pPr>
        <w:pStyle w:val="Heading1"/>
        <w:pBdr>
          <w:bottom w:val="single" w:color="0B2447" w:sz="6" w:space="4"/>
        </w:pBdr>
        <w:spacing w:after="160" w:before="360"/>
      </w:pPr>
      <w:r>
        <w:rPr>
          <w:b/>
          <w:bCs/>
          <w:color w:val="0B2447"/>
          <w:sz w:val="30"/>
          <w:szCs w:val="30"/>
        </w:rPr>
        <w:t xml:space="preserve">7. Testing Requirements</w:t>
      </w:r>
    </w:p>
    <w:p>
      <w:pPr>
        <w:pStyle w:val="ListParagraph"/>
        <w:numPr>
          <w:ilvl w:val="0"/>
          <w:numId w:val="1"/>
        </w:numPr>
        <w:spacing w:after="90" w:line="276"/>
      </w:pPr>
      <w:r>
        <w:rPr>
          <w:sz w:val="21"/>
          <w:szCs w:val="21"/>
        </w:rPr>
        <w:t xml:space="preserve">A host simulator/stub implementing the same messaging standard, used for component and contract tests without depending on the tenant's live host.</w:t>
      </w:r>
    </w:p>
    <w:p>
      <w:pPr>
        <w:pStyle w:val="ListParagraph"/>
        <w:numPr>
          <w:ilvl w:val="0"/>
          <w:numId w:val="1"/>
        </w:numPr>
        <w:spacing w:after="90" w:line="276"/>
      </w:pPr>
      <w:r>
        <w:rPr>
          <w:sz w:val="21"/>
          <w:szCs w:val="21"/>
        </w:rPr>
        <w:t xml:space="preserve">A dedicated reconciliation test using representative host statement fixtures.</w:t>
      </w:r>
    </w:p>
    <w:p>
      <w:pPr>
        <w:pStyle w:val="Heading1"/>
        <w:pBdr>
          <w:bottom w:val="single" w:color="0B2447" w:sz="6" w:space="4"/>
        </w:pBdr>
        <w:spacing w:after="160" w:before="360"/>
      </w:pPr>
      <w:r>
        <w:rPr>
          <w:b/>
          <w:bCs/>
          <w:color w:val="0B2447"/>
          <w:sz w:val="30"/>
          <w:szCs w:val="30"/>
        </w:rPr>
        <w:t xml:space="preserve">8. Data Mapping Notes</w:t>
      </w:r>
    </w:p>
    <w:p>
      <w:pPr>
        <w:pStyle w:val="ListParagraph"/>
        <w:numPr>
          <w:ilvl w:val="0"/>
          <w:numId w:val="1"/>
        </w:numPr>
        <w:spacing w:after="90" w:line="276"/>
      </w:pPr>
      <w:r>
        <w:rPr>
          <w:sz w:val="21"/>
          <w:szCs w:val="21"/>
        </w:rPr>
        <w:t xml:space="preserve">Platform amount/currency (Money value object) maps to the host's native amount representation, with an explicit, tested rounding/precision mapping given many legacy hosts use different minor-unit conventions.</w:t>
      </w:r>
    </w:p>
    <w:p>
      <w:pPr>
        <w:pStyle w:val="ListParagraph"/>
        <w:numPr>
          <w:ilvl w:val="0"/>
          <w:numId w:val="1"/>
        </w:numPr>
        <w:spacing w:after="90" w:line="276"/>
      </w:pPr>
      <w:r>
        <w:rPr>
          <w:sz w:val="21"/>
          <w:szCs w:val="21"/>
        </w:rPr>
        <w:t xml:space="preserve">Platform transaction references map to whatever reference/narrative field the host and the market's regulatory reporting require.</w:t>
      </w:r>
    </w:p>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D6D7E"/>
        <w:sz w:val="16"/>
        <w:szCs w:val="16"/>
      </w:rPr>
      <w:t xml:space="preserve">Confidential — Internal Use   ·   Page </w:t>
    </w:r>
    <w:r>
      <w:rPr>
        <w:color w:val="5D6D7E"/>
        <w:sz w:val="16"/>
        <w:szCs w:val="16"/>
      </w:rPr>
      <w:fldChar w:fldCharType="begin"/>
      <w:instrText xml:space="preserve">PAGE</w:instrText>
      <w:fldChar w:fldCharType="separate"/>
      <w:fldChar w:fldCharType="end"/>
    </w:r>
    <w:r>
      <w:rPr>
        <w:color w:val="5D6D7E"/>
        <w:sz w:val="16"/>
        <w:szCs w:val="16"/>
      </w:rPr>
      <w:t xml:space="preserve"> of </w:t>
    </w:r>
    <w:r>
      <w:rPr>
        <w:color w:val="5D6D7E"/>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5D6D7E"/>
        <w:sz w:val="16"/>
        <w:szCs w:val="16"/>
      </w:rPr>
      <w:t xml:space="preserve">Document 18 — Core Banking Host Adapter Specification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start"/>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2026-07-06T12:24:05.796Z</dcterms:created>
  <dcterms:modified xsi:type="dcterms:W3CDTF">2026-07-06T12:24:05.796Z</dcterms:modified>
</cp:coreProperties>
</file>

<file path=docProps/custom.xml><?xml version="1.0" encoding="utf-8"?>
<Properties xmlns="http://schemas.openxmlformats.org/officeDocument/2006/custom-properties" xmlns:vt="http://schemas.openxmlformats.org/officeDocument/2006/docPropsVTypes"/>
</file>