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400"/>
        <w:jc w:val="center"/>
      </w:pPr>
      <w:r>
        <w:rPr>
          <w:b/>
          <w:bCs/>
          <w:color w:val="12766A"/>
          <w:sz w:val="22"/>
          <w:szCs w:val="22"/>
        </w:rPr>
        <w:t xml:space="preserve">ADAPTER / SPI SPECIFICATION · DOCUMENT 20</w:t>
      </w:r>
    </w:p>
    <w:p>
      <w:pPr>
        <w:spacing w:after="120" w:before="120"/>
        <w:jc w:val="center"/>
      </w:pPr>
      <w:r>
        <w:rPr>
          <w:b/>
          <w:bCs/>
          <w:color w:val="0B2447"/>
          <w:sz w:val="44"/>
          <w:szCs w:val="44"/>
        </w:rPr>
        <w:t xml:space="preserve">Card Issuing Processor Adapter Specification</w:t>
      </w:r>
    </w:p>
    <w:p>
      <w:pPr>
        <w:spacing w:after="200"/>
        <w:jc w:val="center"/>
      </w:pPr>
      <w:r>
        <w:rPr>
          <w:b/>
          <w:bCs/>
          <w:color w:val="12766A"/>
          <w:sz w:val="26"/>
          <w:szCs w:val="26"/>
        </w:rPr>
        <w:t xml:space="preserve">CardProcessorPort implementations for virtual/physical card issuance and authorization</w:t>
      </w:r>
    </w:p>
    <w:p>
      <w:pPr>
        <w:spacing w:after="300"/>
        <w:jc w:val="center"/>
      </w:pPr>
      <w:r>
        <w:rPr>
          <w:i/>
          <w:iCs/>
          <w:color w:val="5D6D7E"/>
          <w:sz w:val="21"/>
          <w:szCs w:val="21"/>
        </w:rPr>
        <w:t xml:space="preserve">Wraps a card issuer-processor's issuance and real-time authorization API so the Card Issuing service (Document 07) is not locked to a single processor.</w:t>
      </w:r>
    </w:p>
    <w:p>
      <w:pPr>
        <w:pBdr>
          <w:bottom w:val="single" w:color="B9770E" w:sz="12" w:space="8"/>
        </w:pBdr>
        <w:spacing w:after="300"/>
      </w:pPr>
    </w:p>
    <w:tbl>
      <w:tblPr>
        <w:tblW w:type="dxa" w:w="935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400"/>
        <w:gridCol w:w="6950"/>
      </w:tblGrid>
      <w:tr>
        <w:trPr>
          <w:tblHeader/>
        </w:trPr>
        <w:tc>
          <w:tcPr>
            <w:tcW w:type="dxa" w:w="2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Field</w:t>
            </w:r>
          </w:p>
        </w:tc>
        <w:tc>
          <w:tcPr>
            <w:tcW w:type="dxa" w:w="695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Details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Document title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Card Issuing Processor Adapter Specification — Adapter Specification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Part of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Product Architecture Blueprint v3.0 — Multi-Tenant, Plug-and-Play Digital Banking &amp; Remittance Platform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Port name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CardProcessorPort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Owning squad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Accounts &amp; Cards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Consumed by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Card Issuing Service (07)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Version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3.0 — Build-Ready Baseline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Date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2 July 2026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Classification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Confidential — Internal Use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1. Purpose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Handles card issuance requests and real-time authorization webhooks from a bound card processor, translating processor-specific formats into the platform's Card and Authorization domain model. Tokenised card references only are exchanged with the platform; raw PAN never touches platform databases (PCI DSS scope reduction by design).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2. Port Contract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The port is owned by the domain and defined independently of any provider. Every adapter listed in §4 must implement this contract exactly; provider-specific behaviour is translated at the adapter boundary (anti-corruption layer) and must never leak into the domain.</w:t>
      </w:r>
    </w:p>
    <w:tbl>
      <w:tblPr>
        <w:tblW w:type="dxa" w:w="91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000"/>
        <w:gridCol w:w="2400"/>
        <w:gridCol w:w="2200"/>
        <w:gridCol w:w="2500"/>
      </w:tblGrid>
      <w:tr>
        <w:trPr>
          <w:tblHeader/>
        </w:trPr>
        <w:tc>
          <w:tcPr>
            <w:tcW w:type="dxa" w:w="20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Method</w:t>
            </w:r>
          </w:p>
        </w:tc>
        <w:tc>
          <w:tcPr>
            <w:tcW w:type="dxa" w:w="2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Input</w:t>
            </w:r>
          </w:p>
        </w:tc>
        <w:tc>
          <w:tcPr>
            <w:tcW w:type="dxa" w:w="2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Output</w:t>
            </w:r>
          </w:p>
        </w:tc>
        <w:tc>
          <w:tcPr>
            <w:tcW w:type="dxa" w:w="25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Notes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issueCard(accountId, cardType, deliveryDetails)</w:t>
            </w:r>
          </w:p>
        </w:tc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Account + card type</w:t>
            </w:r>
          </w:p>
        </w:tc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CardRef (tokenised) + processor card id</w:t>
            </w:r>
          </w:p>
        </w:tc>
        <w:tc>
          <w:tcPr>
            <w:tcW w:type="dxa" w:w="2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Physical card fulfilment/logistics delegated to the processor or its named partner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handleAuthorizationWebhook(payload)</w:t>
            </w:r>
          </w:p>
        </w:tc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Processor's real-time auth request</w:t>
            </w:r>
          </w:p>
        </w:tc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Approve/Decline decision</w:t>
            </w:r>
          </w:p>
        </w:tc>
        <w:tc>
          <w:tcPr>
            <w:tcW w:type="dxa" w:w="2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Must respond within the processor's timeout window, typically sub-second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freezeCard(cardRef) / closeCard(cardRef)</w:t>
            </w:r>
          </w:p>
        </w:tc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Tokenised card reference</w:t>
            </w:r>
          </w:p>
        </w:tc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Confirmation</w:t>
            </w:r>
          </w:p>
        </w:tc>
        <w:tc>
          <w:tcPr>
            <w:tcW w:type="dxa" w:w="2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Freeze is reversible; close is terminal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3. Configuration Schema (Per Tenant / Region)</w:t>
      </w:r>
    </w:p>
    <w:tbl>
      <w:tblPr>
        <w:tblW w:type="dxa" w:w="91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000"/>
        <w:gridCol w:w="1400"/>
        <w:gridCol w:w="1400"/>
        <w:gridCol w:w="4300"/>
      </w:tblGrid>
      <w:tr>
        <w:trPr>
          <w:tblHeader/>
        </w:trPr>
        <w:tc>
          <w:tcPr>
            <w:tcW w:type="dxa" w:w="20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Setting</w:t>
            </w:r>
          </w:p>
        </w:tc>
        <w:tc>
          <w:tcPr>
            <w:tcW w:type="dxa" w:w="1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Type</w:t>
            </w:r>
          </w:p>
        </w:tc>
        <w:tc>
          <w:tcPr>
            <w:tcW w:type="dxa" w:w="1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Scope</w:t>
            </w:r>
          </w:p>
        </w:tc>
        <w:tc>
          <w:tcPr>
            <w:tcW w:type="dxa" w:w="43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Description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provider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enum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Tenant/region</w:t>
            </w:r>
          </w:p>
        </w:tc>
        <w:tc>
          <w:tcPr>
            <w:tcW w:type="dxa" w:w="4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SPI-registry binding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card_scheme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enum(visa,mastercard,local_scheme)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Tenant</w:t>
            </w:r>
          </w:p>
        </w:tc>
        <w:tc>
          <w:tcPr>
            <w:tcW w:type="dxa" w:w="4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Determines scheme-specific rules the adapter must honour</w:t>
            </w:r>
          </w:p>
        </w:tc>
      </w:tr>
      <w:tr>
        <w:tc>
          <w:tcPr>
            <w:tcW w:type="dxa" w:w="20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auth_timeout_budget_ms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integer</w:t>
            </w:r>
          </w:p>
        </w:tc>
        <w:tc>
          <w:tcPr>
            <w:tcW w:type="dxa" w:w="1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Global</w:t>
            </w:r>
          </w:p>
        </w:tc>
        <w:tc>
          <w:tcPr>
            <w:tcW w:type="dxa" w:w="4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The platform-side latency budget within the processor's overall authorization window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4. Candidate Providers</w:t>
      </w:r>
    </w:p>
    <w:tbl>
      <w:tblPr>
        <w:tblW w:type="dxa" w:w="91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200"/>
        <w:gridCol w:w="3450"/>
        <w:gridCol w:w="3450"/>
      </w:tblGrid>
      <w:tr>
        <w:trPr>
          <w:tblHeader/>
        </w:trPr>
        <w:tc>
          <w:tcPr>
            <w:tcW w:type="dxa" w:w="2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Provider (illustrative)</w:t>
            </w:r>
          </w:p>
        </w:tc>
        <w:tc>
          <w:tcPr>
            <w:tcW w:type="dxa" w:w="345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Strengths</w:t>
            </w:r>
          </w:p>
        </w:tc>
        <w:tc>
          <w:tcPr>
            <w:tcW w:type="dxa" w:w="345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Trade-offs / watch-outs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 global card issuer-processor platform (e.g. a Marqeta/Galileo-style processor-as-a-service)</w:t>
            </w:r>
          </w:p>
        </w:tc>
        <w:tc>
          <w:tcPr>
            <w:tcW w:type="dxa" w:w="34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API-first, fast time-to-market, strong developer tooling, broad scheme support</w:t>
            </w:r>
          </w:p>
        </w:tc>
        <w:tc>
          <w:tcPr>
            <w:tcW w:type="dxa" w:w="34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Per-transaction and per-card pricing should be modelled against expected card program volume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 regional bank-partner processor (required in some markets where a licensed local issuer-processor relationship is mandated)</w:t>
            </w:r>
          </w:p>
        </w:tc>
        <w:tc>
          <w:tcPr>
            <w:tcW w:type="dxa" w:w="34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Meets local licensing/regulatory requirements a global processor may not satisfy alone</w:t>
            </w:r>
          </w:p>
        </w:tc>
        <w:tc>
          <w:tcPr>
            <w:tcW w:type="dxa" w:w="34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Typically slower integration timeline and less modern API tooling; plan accordingly</w:t>
            </w:r>
          </w:p>
        </w:tc>
      </w:tr>
    </w:tbl>
    <w:tbl>
      <w:tblPr>
        <w:tblW w:type="dxa" w:w="9350"/>
        <w:tblBorders>
          <w:top w:val="single" w:color="B9770E" w:sz="4"/>
          <w:left w:val="single" w:color="B9770E" w:sz="4"/>
          <w:bottom w:val="single" w:color="B9770E" w:sz="4"/>
          <w:right w:val="single" w:color="B9770E" w:sz="4"/>
          <w:insideH w:val="single" w:color="B9770E" w:sz="4"/>
          <w:insideV w:val="single" w:color="B9770E" w:sz="4"/>
        </w:tblBorders>
      </w:tblPr>
      <w:tblGrid>
        <w:gridCol w:w="100"/>
      </w:tblGrid>
      <w:tr>
        <w:tc>
          <w:tcPr>
            <w:tcW w:type="dxa" w:w="9350"/>
            <w:shd w:fill="FDEBD0" w:val="clear"/>
            <w:tcMar>
              <w:top w:type="dxa" w:w="140"/>
              <w:left w:type="dxa" w:w="180"/>
              <w:bottom w:type="dxa" w:w="140"/>
              <w:right w:type="dxa" w:w="180"/>
            </w:tcMar>
          </w:tcPr>
          <w:p>
            <w:pPr>
              <w:spacing w:after="0" w:line="276"/>
            </w:pPr>
            <w:r>
              <w:rPr>
                <w:b/>
                <w:bCs/>
                <w:color w:val="B9770E"/>
                <w:sz w:val="21"/>
                <w:szCs w:val="21"/>
              </w:rPr>
              <w:t xml:space="preserve">Note.  </w:t>
            </w:r>
            <w:r>
              <w:rPr>
                <w:sz w:val="21"/>
                <w:szCs w:val="21"/>
              </w:rPr>
              <w:t xml:space="preserve">Provider names are illustrative examples of the category, based on established industry practice as of the last training update, not a procurement recommendation. Commercial terms, regional licensing, and current capability must be verified directly with each vendor before selection.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5. Resilience and Error Handling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The authorization webhook handler has no synchronous dependency except the Ledger hold call; every other check (limits, controls) is pre-computed and cached to stay inside the processor's timeout.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A processor-side timeout defaults to Decline (fail-safe closed), never Approve.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Card issuance is idempotent by a platform-generated reference to prevent duplicate card issuance on client retry.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6. Certification Checklist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An adapter cannot be bound to a live tenant until every item below passes in the sandbox environment against that adapter's configuration: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Authorization response time verified under load to stay within the processor's timeout with margin, per the NFR in Document 07.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A full issuance-to-first-authorization cycle verified in the processor's certification/sandbox environment.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PCI DSS scope confirmed: no raw PAN is logged, cached, or persisted anywhere in the platform's own systems.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7. Testing Requirements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A processor simulator for component tests covering approve, decline, timeout and reversal/refund scenarios.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A dedicated latency test for the authorization webhook handler under representative concurrent load.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8. Data Mapping Notes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Processor-native authorization fields (MCC, merchant details, amount, currency) map into the platform's Authorization record; only tokenised references to the underlying card are stored.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Processor-specific decline reason codes map to a normalized platform decline-reason enum for consistent customer messaging across processors.</w:t>
      </w:r>
    </w:p>
    <w:sectPr>
      <w:headerReference w:type="default" r:id="rId7"/>
      <w:footerReference w:type="default" r:id="rId8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5D6D7E"/>
        <w:sz w:val="16"/>
        <w:szCs w:val="16"/>
      </w:rPr>
      <w:t xml:space="preserve">Confidential — Internal Use   ·   Page </w:t>
    </w:r>
    <w:r>
      <w:rPr>
        <w:color w:val="5D6D7E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color w:val="5D6D7E"/>
        <w:sz w:val="16"/>
        <w:szCs w:val="16"/>
      </w:rPr>
      <w:t xml:space="preserve"> of </w:t>
    </w:r>
    <w:r>
      <w:rPr>
        <w:color w:val="5D6D7E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color w:val="5D6D7E"/>
        <w:sz w:val="16"/>
        <w:szCs w:val="16"/>
      </w:rPr>
      <w:t xml:space="preserve">Document 20 — Card Issuing Processor Adapter Specification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start"/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2026-07-06T12:24:05.864Z</dcterms:created>
  <dcterms:modified xsi:type="dcterms:W3CDTF">2026-07-06T12:24:05.864Z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