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ADAPTER / SPI SPECIFICATION · DOCUMENT 22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Identity Provider (OIDC) Adapter Specification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IdentityProviderPort implementations for tenant and end-user authentication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The trust root for every tenant-aware request on the platform: issues and validates the tokens that carry the tenant claim through every service call.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Identity Provider (OIDC) Adapter Specification — 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Port name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IdentityProviderPort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Platform / Enablement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Consumed by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API Gateway / BFF (11), Tenant &amp; Control-Plane Service (12), every service (for token validation)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Manages per-tenant realms/clients, issues OAuth2/OIDC tokens carrying the tenant claim, and validates tokens at the gateway and, defensively, within each service, per §5.3 and §10 of the master blueprint.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Port Contract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The port is owned by the domain and defined independently of any provider. Every adapter listed in §4 must implement this contract exactly; provider-specific behaviour is translated at the adapter boundary (anti-corruption layer) and must never leak into the domain.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000"/>
        <w:gridCol w:w="2400"/>
        <w:gridCol w:w="2200"/>
        <w:gridCol w:w="2500"/>
      </w:tblGrid>
      <w:tr>
        <w:trPr>
          <w:tblHeader/>
        </w:trPr>
        <w:tc>
          <w:tcPr>
            <w:tcW w:type="dxa" w:w="20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</w:t>
            </w:r>
          </w:p>
        </w:tc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Input</w:t>
            </w:r>
          </w:p>
        </w:tc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Output</w:t>
            </w:r>
          </w:p>
        </w:tc>
        <w:tc>
          <w:tcPr>
            <w:tcW w:type="dxa" w:w="2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createTenantRealm(tenantId, config)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 details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RealmRef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Called during onboarding (§16 of the master blueprint)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issueClientCredentialsToken(clientId, secret, scopes)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OAuth2 client-credentials request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AccessToken (JWT) with tenant claim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Used for machine/partner traffic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validateToken(token)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bearer token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Claims (tenant_id, scopes, subject) or rejection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Called at the gateway and, defensively, in each resource server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rotateClientSecret(clientId)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Client identifier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New secret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Scheduled/on-demand rotation per the tenant's security policy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Configuration Schema (Per Tenant / Region)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000"/>
        <w:gridCol w:w="1400"/>
        <w:gridCol w:w="1400"/>
        <w:gridCol w:w="4300"/>
      </w:tblGrid>
      <w:tr>
        <w:trPr>
          <w:tblHeader/>
        </w:trPr>
        <w:tc>
          <w:tcPr>
            <w:tcW w:type="dxa" w:w="20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Setting</w:t>
            </w:r>
          </w:p>
        </w:tc>
        <w:tc>
          <w:tcPr>
            <w:tcW w:type="dxa" w:w="1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Type</w:t>
            </w:r>
          </w:p>
        </w:tc>
        <w:tc>
          <w:tcPr>
            <w:tcW w:type="dxa" w:w="1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Scope</w:t>
            </w:r>
          </w:p>
        </w:tc>
        <w:tc>
          <w:tcPr>
            <w:tcW w:type="dxa" w:w="4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realm_isolation_mode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enum(dedicated_realm,shared_realm_with_tenant_claim)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 tier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Enterprise tenants typically get a dedicated realm; lower tiers can share a realm with a mandatory tenant claim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token_ttl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duration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Tenant/global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Access-token lifetime; shorter for higher-risk scopes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mfa_policy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object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Multi-factor requirements for human users of the tenant's admin console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Candidate Providers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450"/>
        <w:gridCol w:w="345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Provider (illustrative)</w:t>
            </w:r>
          </w:p>
        </w:tc>
        <w:tc>
          <w:tcPr>
            <w:tcW w:type="dxa" w:w="34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Strengths</w:t>
            </w:r>
          </w:p>
        </w:tc>
        <w:tc>
          <w:tcPr>
            <w:tcW w:type="dxa" w:w="34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Trade-offs / watch-outs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Keycloak (self-hosted)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Full control, per-tenant realm isolation, open-source, no per-MAU pricing — the platform's default per §11.3 of the master blueprint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Operational ownership of an identity provider is a real responsibility — budget for dedicated SRE attention and regular security patching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Auth0 / Okta (managed)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Fully managed, strong compliance certifications out of the box, less operational burden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Per-MAU or per-tenant pricing can become significant at scale; evaluate total cost against the platform's projected tenant count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AWS Cognito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Deep AWS-native integration if the platform is AWS-primary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Per-tenant realm-equivalent isolation is less mature than Keycloak's native multi-realm model; verify it meets the isolation bar in §5.3 before committing</w:t>
            </w:r>
          </w:p>
        </w:tc>
      </w:tr>
    </w:tbl>
    <w:tbl>
      <w:tblPr>
        <w:tblW w:type="dxa" w:w="9350"/>
        <w:tblBorders>
          <w:top w:val="single" w:color="B9770E" w:sz="4"/>
          <w:left w:val="single" w:color="B9770E" w:sz="4"/>
          <w:bottom w:val="single" w:color="B9770E" w:sz="4"/>
          <w:right w:val="single" w:color="B9770E" w:sz="4"/>
          <w:insideH w:val="single" w:color="B9770E" w:sz="4"/>
          <w:insideV w:val="single" w:color="B9770E" w:sz="4"/>
        </w:tblBorders>
      </w:tblPr>
      <w:tblGrid>
        <w:gridCol w:w="100"/>
      </w:tblGrid>
      <w:tr>
        <w:tc>
          <w:tcPr>
            <w:tcW w:type="dxa" w:w="9350"/>
            <w:shd w:fill="FDEBD0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B9770E"/>
                <w:sz w:val="21"/>
                <w:szCs w:val="21"/>
              </w:rPr>
              <w:t xml:space="preserve">Note.  </w:t>
            </w:r>
            <w:r>
              <w:rPr>
                <w:sz w:val="21"/>
                <w:szCs w:val="21"/>
              </w:rPr>
              <w:t xml:space="preserve">Provider names are illustrative examples of the category, based on established industry practice as of the last training update, not a procurement recommendation. Commercial terms, regional licensing, and current capability must be verified directly with each vendor before selection.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Resilience and Error Handling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Token validation is stateless (JWT signature + claims check) so a transient identity-provider outage does not invalidate already-issued, still-valid tokens.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Multi-region identity-provider deployment with the same realm data replicated, so a regional outage does not block authentication platform-wide.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Client-secret rotation is a zero-downtime operation: both the old and new secret are valid during a defined overlap window.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Certification Checklist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An adapter cannot be bound to a live tenant until every item below passes in the sandbox environment against that adapter's configuration: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Tenant claim presence and correctness verified in every issued token type (human and machine) before a tenant goes live.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Realm isolation verified: a token issued for tenant A's realm/client is rejected by every check when presented in a request claiming to be tenant B.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MFA policy enforcement verified for the tenant's configured requirement.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Testing Requirements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Automated tests asserting every service's resource-server configuration rejects a token missing the tenant claim, and rejects a token whose tenant claim does not match the requested resource's tenant — this is part of the cross-tenant isolation suite in §19.3 of the master blueprint.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token-expiry and refresh-flow test for both human (authorization-code) and machine (client-credentials) flows.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Data Mapping Notes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Keycloak realm/client/role concepts map directly onto Tenant/Entitlement concepts in the Tenant &amp; Control-Plane Service (Document 12); a realm is created as part of the RegisterTenant workflow.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Scope names are a fixed, versioned vocabulary shared across all services, defined and owned by the Platform/Enablement squad, not invented ad hoc per service.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22 — Identity Provider (OIDC) Adapter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2026-07-06T12:24:05.920Z</dcterms:created>
  <dcterms:modified xsi:type="dcterms:W3CDTF">2026-07-06T12:24:05.920Z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