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40" w:before="700"/>
      </w:pPr>
      <w:r>
        <w:rPr>
          <w:rFonts w:ascii="Calibri" w:cs="Calibri" w:eastAsia="Calibri" w:hAnsi="Calibri"/>
          <w:b/>
          <w:bCs/>
          <w:color w:val="0A7E79"/>
          <w:sz w:val="21"/>
          <w:szCs w:val="21"/>
        </w:rPr>
        <w:t xml:space="preserve">ADAPTER / SPI SPECIFICATION · DOCUMENT 25 · SHARED (BANKING + TAKAFUL)</w:t>
      </w:r>
    </w:p>
    <w:p>
      <w:pPr>
        <w:spacing w:after="200"/>
      </w:pPr>
      <w:r>
        <w:rPr>
          <w:rFonts w:ascii="Calibri" w:cs="Calibri" w:eastAsia="Calibri" w:hAnsi="Calibri"/>
          <w:b/>
          <w:bCs/>
          <w:color w:val="0B1F3A"/>
          <w:sz w:val="52"/>
          <w:szCs w:val="52"/>
        </w:rPr>
        <w:t xml:space="preserve">Country Tax Computation Adapter Specification</w:t>
      </w:r>
    </w:p>
    <w:p>
      <w:pPr>
        <w:spacing w:after="200"/>
      </w:pPr>
      <w:r>
        <w:rPr>
          <w:rFonts w:ascii="Calibri" w:cs="Calibri" w:eastAsia="Calibri" w:hAnsi="Calibri"/>
          <w:b/>
          <w:bCs/>
          <w:color w:val="0A7E79"/>
          <w:sz w:val="27"/>
          <w:szCs w:val="27"/>
        </w:rPr>
        <w:t xml:space="preserve">TaxPort implementations for per-country levies, VAT and withholding</w:t>
      </w:r>
    </w:p>
    <w:p>
      <w:pPr>
        <w:spacing w:after="420"/>
      </w:pPr>
      <w:r>
        <w:rPr>
          <w:rFonts w:ascii="Calibri" w:cs="Calibri" w:eastAsia="Calibri" w:hAnsi="Calibri"/>
          <w:i/>
          <w:iCs/>
          <w:color w:val="5B6B7A"/>
          <w:sz w:val="22"/>
          <w:szCs w:val="22"/>
        </w:rPr>
        <w:t xml:space="preserve">Computes every tax line the platform owes or collects — WHT and VAT on banking fees, levies and VAT on takaful contributions and wakala fees — from pure, versioned rule tables per country pack.</w:t>
      </w:r>
    </w:p>
    <w:tbl>
      <w:tblPr>
        <w:tblW w:type="dxa" w:w="9350"/>
        <w:tblBorders>
          <w:top w:val="single" w:color="D8E2E8" w:sz="4"/>
          <w:left w:val="single" w:color="D8E2E8" w:sz="4"/>
          <w:bottom w:val="single" w:color="D8E2E8" w:sz="4"/>
          <w:right w:val="single" w:color="D8E2E8" w:sz="4"/>
          <w:insideH w:val="single" w:color="D8E2E8" w:sz="4"/>
          <w:insideV w:val="single" w:color="D8E2E8" w:sz="4"/>
        </w:tblBorders>
      </w:tblPr>
      <w:tblGrid>
        <w:gridCol w:w="2300"/>
        <w:gridCol w:w="7050"/>
      </w:tblGrid>
      <w:tr>
        <w:trPr>
          <w:tblHeader/>
        </w:trPr>
        <w:tc>
          <w:tcPr>
            <w:tcW w:type="dxa" w:w="2300"/>
            <w:shd w:fill="0B1F3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Field</w:t>
            </w:r>
          </w:p>
        </w:tc>
        <w:tc>
          <w:tcPr>
            <w:tcW w:type="dxa" w:w="7050"/>
            <w:shd w:fill="0B1F3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Details</w:t>
            </w:r>
          </w:p>
        </w:tc>
      </w:tr>
      <w:tr>
        <w:tc>
          <w:tcPr>
            <w:tcW w:type="dxa" w:w="23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Document title</w:t>
            </w:r>
          </w:p>
        </w:tc>
        <w:tc>
          <w:tcPr>
            <w:tcW w:type="dxa" w:w="705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Country Tax Computation Adapter Specification — Adapter Specification</w:t>
            </w:r>
          </w:p>
        </w:tc>
      </w:tr>
      <w:tr>
        <w:tc>
          <w:tcPr>
            <w:tcW w:type="dxa" w:w="230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Part of</w:t>
            </w:r>
          </w:p>
        </w:tc>
        <w:tc>
          <w:tcPr>
            <w:tcW w:type="dxa" w:w="705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Product Architecture Blueprint v3.1 — extended by the Shared Adapter Platform (Banking + Takaful)</w:t>
            </w:r>
          </w:p>
        </w:tc>
      </w:tr>
      <w:tr>
        <w:tc>
          <w:tcPr>
            <w:tcW w:type="dxa" w:w="23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Port name</w:t>
            </w:r>
          </w:p>
        </w:tc>
        <w:tc>
          <w:tcPr>
            <w:tcW w:type="dxa" w:w="705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TaxPort</w:t>
            </w:r>
          </w:p>
        </w:tc>
      </w:tr>
      <w:tr>
        <w:tc>
          <w:tcPr>
            <w:tcW w:type="dxa" w:w="230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Owning squad</w:t>
            </w:r>
          </w:p>
        </w:tc>
        <w:tc>
          <w:tcPr>
            <w:tcW w:type="dxa" w:w="705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Platform Adapters (shared)</w:t>
            </w:r>
          </w:p>
        </w:tc>
      </w:tr>
      <w:tr>
        <w:tc>
          <w:tcPr>
            <w:tcW w:type="dxa" w:w="23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Consumed by</w:t>
            </w:r>
          </w:p>
        </w:tc>
        <w:tc>
          <w:tcPr>
            <w:tcW w:type="dxa" w:w="705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Banking app (WHT on fees/commission, VAT on charges) · Takaful app (levies &amp; VAT on contributions and wakala fees) · Pricing service (10) composes tax lines into quotes</w:t>
            </w:r>
          </w:p>
        </w:tc>
      </w:tr>
      <w:tr>
        <w:tc>
          <w:tcPr>
            <w:tcW w:type="dxa" w:w="230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Implementation (v3.1 rule)</w:t>
            </w:r>
          </w:p>
        </w:tc>
        <w:tc>
          <w:tcPr>
            <w:tcW w:type="dxa" w:w="705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TypeScript — pure, rule-table-driven computation on @platform/money integer minor units with property-based tests. Judged against the v3.1 JVM rule: eligible to move to a Java library (like the FX adapter, Document 17) if computation complexity grows beyond rule-table arithmetic — that reversal is a packaging change because the port is language-agnostic.</w:t>
            </w:r>
          </w:p>
        </w:tc>
      </w:tr>
      <w:tr>
        <w:tc>
          <w:tcPr>
            <w:tcW w:type="dxa" w:w="23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Status</w:t>
            </w:r>
          </w:p>
        </w:tc>
        <w:tc>
          <w:tcPr>
            <w:tcW w:type="dxa" w:w="705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Design draft — nothing built yet; to be designed with both consumer apps at the table</w:t>
            </w:r>
          </w:p>
        </w:tc>
      </w:tr>
      <w:tr>
        <w:tc>
          <w:tcPr>
            <w:tcW w:type="dxa" w:w="230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Version</w:t>
            </w:r>
          </w:p>
        </w:tc>
        <w:tc>
          <w:tcPr>
            <w:tcW w:type="dxa" w:w="705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1.0 — Shared Adapter Extension</w:t>
            </w:r>
          </w:p>
        </w:tc>
      </w:tr>
      <w:tr>
        <w:tc>
          <w:tcPr>
            <w:tcW w:type="dxa" w:w="23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Date</w:t>
            </w:r>
          </w:p>
        </w:tc>
        <w:tc>
          <w:tcPr>
            <w:tcW w:type="dxa" w:w="705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16 July 2026</w:t>
            </w:r>
          </w:p>
        </w:tc>
      </w:tr>
      <w:tr>
        <w:tc>
          <w:tcPr>
            <w:tcW w:type="dxa" w:w="230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Classification</w:t>
            </w:r>
          </w:p>
        </w:tc>
        <w:tc>
          <w:tcPr>
            <w:tcW w:type="dxa" w:w="705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Confidential — Internal Use</w:t>
            </w:r>
          </w:p>
        </w:tc>
      </w:tr>
    </w:tbl>
    <w:p>
      <w:r>
        <w:br w:type="page"/>
      </w:r>
    </w:p>
    <w:p>
      <w:pPr>
        <w:pStyle w:val="Heading1"/>
        <w:spacing w:after="200" w:before="340"/>
      </w:pPr>
      <w:r>
        <w:rPr>
          <w:rFonts w:ascii="Calibri" w:cs="Calibri" w:eastAsia="Calibri" w:hAnsi="Calibri"/>
          <w:b/>
          <w:bCs/>
          <w:color w:val="0B1F3A"/>
          <w:sz w:val="30"/>
          <w:szCs w:val="30"/>
        </w:rPr>
        <w:t xml:space="preserve">1. Purpose</w:t>
      </w:r>
    </w:p>
    <w:p>
      <w:pPr>
        <w:spacing w:after="160" w:line="30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Given an operation (fee charge, remittance, contribution collection, wakala fee, claim payout), its amounts, the country and the effective date, returns the itemised tax/levy lines the platform must apply — each line traceable to a named rule and rule-pack version. It computes; it never files: regulatory filing and remittance of collected amounts remain with the Compliance Reporting service (08) and the tenant's finance processes.</w:t>
      </w:r>
    </w:p>
    <w:tbl>
      <w:tblPr>
        <w:tblW w:type="dxa" w:w="9350"/>
        <w:tblBorders>
          <w:top w:val="single" w:color="B9770E" w:sz="6"/>
          <w:left w:val="single" w:color="B9770E" w:sz="18"/>
          <w:bottom w:val="single" w:color="B9770E" w:sz="6"/>
          <w:right w:val="single" w:color="B9770E" w:sz="6"/>
          <w:insideH w:val="single" w:color="B9770E" w:sz="6"/>
          <w:insideV w:val="single" w:color="B9770E" w:sz="6"/>
        </w:tblBorders>
      </w:tblPr>
      <w:tblGrid>
        <w:gridCol w:w="9350"/>
      </w:tblGrid>
      <w:tr>
        <w:tc>
          <w:tcPr>
            <w:tcW w:type="dxa" w:w="9350"/>
            <w:shd w:fill="FDEBD0" w:val="clear"/>
            <w:tcMar>
              <w:top w:type="dxa" w:w="130"/>
              <w:left w:type="dxa" w:w="170"/>
              <w:bottom w:type="dxa" w:w="130"/>
              <w:right w:type="dxa" w:w="170"/>
            </w:tcMar>
          </w:tcPr>
          <w:p>
            <w:pPr>
              <w:spacing w:after="0" w:line="290"/>
            </w:pPr>
            <w:r>
              <w:rPr>
                <w:rFonts w:ascii="Calibri" w:cs="Calibri" w:eastAsia="Calibri" w:hAnsi="Calibri"/>
                <w:b/>
                <w:bCs/>
                <w:color w:val="B9770E"/>
                <w:sz w:val="21"/>
                <w:szCs w:val="21"/>
              </w:rPr>
              <w:t xml:space="preserve">Deterministic and explainable, by construction.  </w:t>
            </w:r>
            <w:r>
              <w:rPr>
                <w:rFonts w:ascii="Calibri" w:cs="Calibri" w:eastAsia="Calibri" w:hAnsi="Calibri"/>
                <w:color w:val="1E2A38"/>
                <w:sz w:val="21"/>
                <w:szCs w:val="21"/>
              </w:rPr>
              <w:t xml:space="preserve">Same inputs + same rule-pack version = byte-identical output, forever. Every TaxLine carries { ruleId, rulePackVersion } so any quote, invoice or policy schedule can be re-derived and defended in an audit years later. Rules are data (versioned, effective-dated tables authored per country pack), never code branches.</w:t>
            </w:r>
          </w:p>
        </w:tc>
      </w:tr>
    </w:tbl>
    <w:p>
      <w:pPr>
        <w:pStyle w:val="Heading1"/>
        <w:spacing w:after="200" w:before="340"/>
      </w:pPr>
      <w:r>
        <w:rPr>
          <w:rFonts w:ascii="Calibri" w:cs="Calibri" w:eastAsia="Calibri" w:hAnsi="Calibri"/>
          <w:b/>
          <w:bCs/>
          <w:color w:val="0B1F3A"/>
          <w:sz w:val="30"/>
          <w:szCs w:val="30"/>
        </w:rPr>
        <w:t xml:space="preserve">2. Port Contract</w:t>
      </w:r>
    </w:p>
    <w:p>
      <w:pPr>
        <w:spacing w:after="160" w:line="30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The port is owned by the domain and defined independently of any provider. Every adapter listed in §4 must implement this contract exactly; provider-specific behaviour is translated at the adapter boundary (anti-corruption layer) and must never leak into the domain. As a shared adapter, every call carries both tenant_id and app_id (banking | takaful) — per-app quotas, rate limits and dashboards key on it.</w:t>
      </w:r>
    </w:p>
    <w:tbl>
      <w:tblPr>
        <w:tblW w:type="dxa" w:w="9350"/>
        <w:tblBorders>
          <w:top w:val="single" w:color="D8E2E8" w:sz="4"/>
          <w:left w:val="single" w:color="D8E2E8" w:sz="4"/>
          <w:bottom w:val="single" w:color="D8E2E8" w:sz="4"/>
          <w:right w:val="single" w:color="D8E2E8" w:sz="4"/>
          <w:insideH w:val="single" w:color="D8E2E8" w:sz="4"/>
          <w:insideV w:val="single" w:color="D8E2E8" w:sz="4"/>
        </w:tblBorders>
      </w:tblPr>
      <w:tblGrid>
        <w:gridCol w:w="2700"/>
        <w:gridCol w:w="1900"/>
        <w:gridCol w:w="2100"/>
        <w:gridCol w:w="2650"/>
      </w:tblGrid>
      <w:tr>
        <w:trPr>
          <w:tblHeader/>
        </w:trPr>
        <w:tc>
          <w:tcPr>
            <w:tcW w:type="dxa" w:w="2700"/>
            <w:shd w:fill="0B1F3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Method</w:t>
            </w:r>
          </w:p>
        </w:tc>
        <w:tc>
          <w:tcPr>
            <w:tcW w:type="dxa" w:w="1900"/>
            <w:shd w:fill="0B1F3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Input</w:t>
            </w:r>
          </w:p>
        </w:tc>
        <w:tc>
          <w:tcPr>
            <w:tcW w:type="dxa" w:w="2100"/>
            <w:shd w:fill="0B1F3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Output</w:t>
            </w:r>
          </w:p>
        </w:tc>
        <w:tc>
          <w:tcPr>
            <w:tcW w:type="dxa" w:w="2650"/>
            <w:shd w:fill="0B1F3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Notes</w:t>
            </w:r>
          </w:p>
        </w:tc>
      </w:tr>
      <w:tr>
        <w:tc>
          <w:tcPr>
            <w:tcW w:type="dxa" w:w="27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computeLevies(ctx, operation, amounts, country, asOf)</w:t>
            </w:r>
          </w:p>
        </w:tc>
        <w:tc>
          <w:tcPr>
            <w:tcW w:type="dxa" w:w="19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Operation type + Money amounts + country + effective date</w:t>
            </w:r>
          </w:p>
        </w:tc>
        <w:tc>
          <w:tcPr>
            <w:tcW w:type="dxa" w:w="21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TaxComputation { lines: TaxLine[], total }</w:t>
            </w:r>
          </w:p>
        </w:tc>
        <w:tc>
          <w:tcPr>
            <w:tcW w:type="dxa" w:w="265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TaxLine = { type, label, ruleId, rulePackVersion, base, rate, amount } — Σ lines must equal total (property-tested)</w:t>
            </w:r>
          </w:p>
        </w:tc>
      </w:tr>
      <w:tr>
        <w:tc>
          <w:tcPr>
            <w:tcW w:type="dxa" w:w="270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explain(ctx, computationRef)</w:t>
            </w:r>
          </w:p>
        </w:tc>
        <w:tc>
          <w:tcPr>
            <w:tcW w:type="dxa" w:w="190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A stored computation reference</w:t>
            </w:r>
          </w:p>
        </w:tc>
        <w:tc>
          <w:tcPr>
            <w:tcW w:type="dxa" w:w="210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Human-readable derivation per line</w:t>
            </w:r>
          </w:p>
        </w:tc>
        <w:tc>
          <w:tcPr>
            <w:tcW w:type="dxa" w:w="265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Audit/support surface — shows base, rate, rounding mode and rule text for each line</w:t>
            </w:r>
          </w:p>
        </w:tc>
      </w:tr>
      <w:tr>
        <w:tc>
          <w:tcPr>
            <w:tcW w:type="dxa" w:w="27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effectiveRules(country, asOf)</w:t>
            </w:r>
          </w:p>
        </w:tc>
        <w:tc>
          <w:tcPr>
            <w:tcW w:type="dxa" w:w="19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Country + date</w:t>
            </w:r>
          </w:p>
        </w:tc>
        <w:tc>
          <w:tcPr>
            <w:tcW w:type="dxa" w:w="21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RulePackVersion + rule summaries</w:t>
            </w:r>
          </w:p>
        </w:tc>
        <w:tc>
          <w:tcPr>
            <w:tcW w:type="dxa" w:w="265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Lets consumers display 'rates as of' and pre-validate configuration changes</w:t>
            </w:r>
          </w:p>
        </w:tc>
      </w:tr>
      <w:tr>
        <w:tc>
          <w:tcPr>
            <w:tcW w:type="dxa" w:w="270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healthCheck()</w:t>
            </w:r>
          </w:p>
        </w:tc>
        <w:tc>
          <w:tcPr>
            <w:tcW w:type="dxa" w:w="190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—</w:t>
            </w:r>
          </w:p>
        </w:tc>
        <w:tc>
          <w:tcPr>
            <w:tcW w:type="dxa" w:w="210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Loaded rule-pack versions per country</w:t>
            </w:r>
          </w:p>
        </w:tc>
        <w:tc>
          <w:tcPr>
            <w:tcW w:type="dxa" w:w="265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A country with no loaded pack is a hard startup error, not a silent zero-tax</w:t>
            </w:r>
          </w:p>
        </w:tc>
      </w:tr>
    </w:tbl>
    <w:p>
      <w:pPr>
        <w:pStyle w:val="Heading1"/>
        <w:spacing w:after="200" w:before="340"/>
      </w:pPr>
      <w:r>
        <w:rPr>
          <w:rFonts w:ascii="Calibri" w:cs="Calibri" w:eastAsia="Calibri" w:hAnsi="Calibri"/>
          <w:b/>
          <w:bCs/>
          <w:color w:val="0B1F3A"/>
          <w:sz w:val="30"/>
          <w:szCs w:val="30"/>
        </w:rPr>
        <w:t xml:space="preserve">3. Configuration Schema (Per Tenant / App / Country)</w:t>
      </w:r>
    </w:p>
    <w:tbl>
      <w:tblPr>
        <w:tblW w:type="dxa" w:w="9350"/>
        <w:tblBorders>
          <w:top w:val="single" w:color="D8E2E8" w:sz="4"/>
          <w:left w:val="single" w:color="D8E2E8" w:sz="4"/>
          <w:bottom w:val="single" w:color="D8E2E8" w:sz="4"/>
          <w:right w:val="single" w:color="D8E2E8" w:sz="4"/>
          <w:insideH w:val="single" w:color="D8E2E8" w:sz="4"/>
          <w:insideV w:val="single" w:color="D8E2E8" w:sz="4"/>
        </w:tblBorders>
      </w:tblPr>
      <w:tblGrid>
        <w:gridCol w:w="2100"/>
        <w:gridCol w:w="1500"/>
        <w:gridCol w:w="1700"/>
        <w:gridCol w:w="4050"/>
      </w:tblGrid>
      <w:tr>
        <w:trPr>
          <w:tblHeader/>
        </w:trPr>
        <w:tc>
          <w:tcPr>
            <w:tcW w:type="dxa" w:w="2100"/>
            <w:shd w:fill="0B1F3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Setting</w:t>
            </w:r>
          </w:p>
        </w:tc>
        <w:tc>
          <w:tcPr>
            <w:tcW w:type="dxa" w:w="1500"/>
            <w:shd w:fill="0B1F3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Type</w:t>
            </w:r>
          </w:p>
        </w:tc>
        <w:tc>
          <w:tcPr>
            <w:tcW w:type="dxa" w:w="1700"/>
            <w:shd w:fill="0B1F3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Scope</w:t>
            </w:r>
          </w:p>
        </w:tc>
        <w:tc>
          <w:tcPr>
            <w:tcW w:type="dxa" w:w="4050"/>
            <w:shd w:fill="0B1F3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Description</w:t>
            </w:r>
          </w:p>
        </w:tc>
      </w:tr>
      <w:tr>
        <w:tc>
          <w:tcPr>
            <w:tcW w:type="dxa" w:w="21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rule_pack_version</w:t>
            </w:r>
          </w:p>
        </w:tc>
        <w:tc>
          <w:tcPr>
            <w:tcW w:type="dxa" w:w="15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semver</w:t>
            </w:r>
          </w:p>
        </w:tc>
        <w:tc>
          <w:tcPr>
            <w:tcW w:type="dxa" w:w="17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Country pack</w:t>
            </w:r>
          </w:p>
        </w:tc>
        <w:tc>
          <w:tcPr>
            <w:tcW w:type="dxa" w:w="405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The active, immutable rule-table version; publish = new version, maker-checker approved</w:t>
            </w:r>
          </w:p>
        </w:tc>
      </w:tr>
      <w:tr>
        <w:tc>
          <w:tcPr>
            <w:tcW w:type="dxa" w:w="210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rounding_mode</w:t>
            </w:r>
          </w:p>
        </w:tc>
        <w:tc>
          <w:tcPr>
            <w:tcW w:type="dxa" w:w="150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enum per levy</w:t>
            </w:r>
          </w:p>
        </w:tc>
        <w:tc>
          <w:tcPr>
            <w:tcW w:type="dxa" w:w="170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Rule pack</w:t>
            </w:r>
          </w:p>
        </w:tc>
        <w:tc>
          <w:tcPr>
            <w:tcW w:type="dxa" w:w="405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Per-levy rounding (e.g. HALF_UP on VAT lines where the authority mandates it) — explicit, never default</w:t>
            </w:r>
          </w:p>
        </w:tc>
      </w:tr>
      <w:tr>
        <w:tc>
          <w:tcPr>
            <w:tcW w:type="dxa" w:w="21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effective_dating</w:t>
            </w:r>
          </w:p>
        </w:tc>
        <w:tc>
          <w:tcPr>
            <w:tcW w:type="dxa" w:w="15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date ranges</w:t>
            </w:r>
          </w:p>
        </w:tc>
        <w:tc>
          <w:tcPr>
            <w:tcW w:type="dxa" w:w="17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Rule pack</w:t>
            </w:r>
          </w:p>
        </w:tc>
        <w:tc>
          <w:tcPr>
            <w:tcW w:type="dxa" w:w="405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Rules carry validFrom/validTo; computation picks by asOf date — rate changes are new rows, not edits</w:t>
            </w:r>
          </w:p>
        </w:tc>
      </w:tr>
      <w:tr>
        <w:tc>
          <w:tcPr>
            <w:tcW w:type="dxa" w:w="210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product_exemptions</w:t>
            </w:r>
          </w:p>
        </w:tc>
        <w:tc>
          <w:tcPr>
            <w:tcW w:type="dxa" w:w="150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table</w:t>
            </w:r>
          </w:p>
        </w:tc>
        <w:tc>
          <w:tcPr>
            <w:tcW w:type="dxa" w:w="170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App + pack</w:t>
            </w:r>
          </w:p>
        </w:tc>
        <w:tc>
          <w:tcPr>
            <w:tcW w:type="dxa" w:w="405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Per-product treatment flags (e.g. a takaful contribution's levy treatment vs a banking fee's VAT treatment)</w:t>
            </w:r>
          </w:p>
        </w:tc>
      </w:tr>
      <w:tr>
        <w:tc>
          <w:tcPr>
            <w:tcW w:type="dxa" w:w="21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app_id scoping</w:t>
            </w:r>
          </w:p>
        </w:tc>
        <w:tc>
          <w:tcPr>
            <w:tcW w:type="dxa" w:w="15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built-in</w:t>
            </w:r>
          </w:p>
        </w:tc>
        <w:tc>
          <w:tcPr>
            <w:tcW w:type="dxa" w:w="17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All calls</w:t>
            </w:r>
          </w:p>
        </w:tc>
        <w:tc>
          <w:tcPr>
            <w:tcW w:type="dxa" w:w="405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Per-app dashboards and quotas, per the shared-adapter standard</w:t>
            </w:r>
          </w:p>
        </w:tc>
      </w:tr>
    </w:tbl>
    <w:p>
      <w:pPr>
        <w:pStyle w:val="Heading1"/>
        <w:spacing w:after="200" w:before="340"/>
      </w:pPr>
      <w:r>
        <w:rPr>
          <w:rFonts w:ascii="Calibri" w:cs="Calibri" w:eastAsia="Calibri" w:hAnsi="Calibri"/>
          <w:b/>
          <w:bCs/>
          <w:color w:val="0B1F3A"/>
          <w:sz w:val="30"/>
          <w:szCs w:val="30"/>
        </w:rPr>
        <w:t xml:space="preserve">4. Candidate Providers (Launch Markets)</w:t>
      </w:r>
    </w:p>
    <w:tbl>
      <w:tblPr>
        <w:tblW w:type="dxa" w:w="9350"/>
        <w:tblBorders>
          <w:top w:val="single" w:color="D8E2E8" w:sz="4"/>
          <w:left w:val="single" w:color="D8E2E8" w:sz="4"/>
          <w:bottom w:val="single" w:color="D8E2E8" w:sz="4"/>
          <w:right w:val="single" w:color="D8E2E8" w:sz="4"/>
          <w:insideH w:val="single" w:color="D8E2E8" w:sz="4"/>
          <w:insideV w:val="single" w:color="D8E2E8" w:sz="4"/>
        </w:tblBorders>
      </w:tblPr>
      <w:tblGrid>
        <w:gridCol w:w="2900"/>
        <w:gridCol w:w="3400"/>
        <w:gridCol w:w="3050"/>
      </w:tblGrid>
      <w:tr>
        <w:trPr>
          <w:tblHeader/>
        </w:trPr>
        <w:tc>
          <w:tcPr>
            <w:tcW w:type="dxa" w:w="2900"/>
            <w:shd w:fill="0B1F3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Provider / authority</w:t>
            </w:r>
          </w:p>
        </w:tc>
        <w:tc>
          <w:tcPr>
            <w:tcW w:type="dxa" w:w="3400"/>
            <w:shd w:fill="0B1F3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Why it's a candidate</w:t>
            </w:r>
          </w:p>
        </w:tc>
        <w:tc>
          <w:tcPr>
            <w:tcW w:type="dxa" w:w="3050"/>
            <w:shd w:fill="0B1F3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Watch-outs</w:t>
            </w:r>
          </w:p>
        </w:tc>
      </w:tr>
      <w:tr>
        <w:tc>
          <w:tcPr>
            <w:tcW w:type="dxa" w:w="29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FBR — Federal Board of Revenue + provincial revenue authorities (SRB/PRA/KPRA) (PK)</w:t>
            </w:r>
          </w:p>
        </w:tc>
        <w:tc>
          <w:tcPr>
            <w:tcW w:type="dxa" w:w="34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Source of withholding tax regimes on fees/commission and sales tax on services — note services taxation is largely provincial in Pakistan</w:t>
            </w:r>
          </w:p>
        </w:tc>
        <w:tc>
          <w:tcPr>
            <w:tcW w:type="dxa" w:w="305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Federal/provincial split means the PK rule pack is keyed by province where the service is rendered; rates and withholding schedules change with the annual Finance Act — pack update cadence must match</w:t>
            </w:r>
          </w:p>
        </w:tc>
      </w:tr>
      <w:tr>
        <w:tc>
          <w:tcPr>
            <w:tcW w:type="dxa" w:w="290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FTA — Federal Tax Authority (UAE)</w:t>
            </w:r>
          </w:p>
        </w:tc>
        <w:tc>
          <w:tcPr>
            <w:tcW w:type="dxa" w:w="340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VAT at 5% on applicable fees/charges; defines exempt vs zero-rated vs standard treatment for financial services and insurance</w:t>
            </w:r>
          </w:p>
        </w:tc>
        <w:tc>
          <w:tcPr>
            <w:tcW w:type="dxa" w:w="305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Financial-services VAT treatment is nuanced (margin-based services often exempt; explicit fees standard-rated) — classification per product line is a counsel-confirmed pack decision, not an engineering guess</w:t>
            </w:r>
          </w:p>
        </w:tc>
      </w:tr>
      <w:tr>
        <w:tc>
          <w:tcPr>
            <w:tcW w:type="dxa" w:w="29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ZATCA — Zakat, Tax and Customs Authority (SA)</w:t>
            </w:r>
          </w:p>
        </w:tc>
        <w:tc>
          <w:tcPr>
            <w:tcW w:type="dxa" w:w="34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VAT at 15% on applicable fees/charges; e-invoicing (FATOORA) obligations attach to taxable supplies</w:t>
            </w:r>
          </w:p>
        </w:tc>
        <w:tc>
          <w:tcPr>
            <w:tcW w:type="dxa" w:w="305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Zakat is an entity-level obligation on the operator — explicitly OUT of this adapter's transaction scope; e-invoice generation integrates via Compliance Reporting (08), not here</w:t>
            </w:r>
          </w:p>
        </w:tc>
      </w:tr>
    </w:tbl>
    <w:p>
      <w:pPr>
        <w:pStyle w:val="Heading1"/>
        <w:spacing w:after="200" w:before="340"/>
      </w:pPr>
      <w:r>
        <w:rPr>
          <w:rFonts w:ascii="Calibri" w:cs="Calibri" w:eastAsia="Calibri" w:hAnsi="Calibri"/>
          <w:b/>
          <w:bCs/>
          <w:color w:val="0B1F3A"/>
          <w:sz w:val="30"/>
          <w:szCs w:val="30"/>
        </w:rPr>
        <w:t xml:space="preserve">5. Resilience and Error Handling</w:t>
      </w:r>
    </w:p>
    <w:p>
      <w:pPr>
        <w:pStyle w:val="ListParagraph"/>
        <w:numPr>
          <w:ilvl w:val="0"/>
          <w:numId w:val="2"/>
        </w:numPr>
        <w:spacing w:after="120" w:line="29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The adapter is a pure library-style service with no runtime dependency on the tax authorities — authorities publish rules; the platform encodes them as versioned packs, so there is no 'provider outage' failure mode at computation time.</w:t>
      </w:r>
    </w:p>
    <w:p>
      <w:pPr>
        <w:pStyle w:val="ListParagraph"/>
        <w:numPr>
          <w:ilvl w:val="0"/>
          <w:numId w:val="2"/>
        </w:numPr>
        <w:spacing w:after="120" w:line="29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A country with a missing or unloadable rule pack fails closed at startup/health-check — the platform never silently computes zero tax.</w:t>
      </w:r>
    </w:p>
    <w:p>
      <w:pPr>
        <w:pStyle w:val="ListParagraph"/>
        <w:numPr>
          <w:ilvl w:val="0"/>
          <w:numId w:val="2"/>
        </w:numPr>
        <w:spacing w:after="120" w:line="29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Rule-pack publication follows the control plane's config lifecycle: schema validation, maker-checker, effective-dated immutable versions, one-click rollback to the previous known-good pack.</w:t>
      </w:r>
    </w:p>
    <w:p>
      <w:pPr>
        <w:pStyle w:val="ListParagraph"/>
        <w:numPr>
          <w:ilvl w:val="0"/>
          <w:numId w:val="2"/>
        </w:numPr>
        <w:spacing w:after="120" w:line="29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Computation is stateless and horizontally scalable; stored computationRefs (for explain/audit) go to the consuming app's data plane, respecting residency.</w:t>
      </w:r>
    </w:p>
    <w:p>
      <w:pPr>
        <w:pStyle w:val="Heading1"/>
        <w:spacing w:after="200" w:before="340"/>
      </w:pPr>
      <w:r>
        <w:rPr>
          <w:rFonts w:ascii="Calibri" w:cs="Calibri" w:eastAsia="Calibri" w:hAnsi="Calibri"/>
          <w:b/>
          <w:bCs/>
          <w:color w:val="0B1F3A"/>
          <w:sz w:val="30"/>
          <w:szCs w:val="30"/>
        </w:rPr>
        <w:t xml:space="preserve">6. Certification Checklist (Per Provider, Per Market)</w:t>
      </w:r>
    </w:p>
    <w:p>
      <w:pPr>
        <w:pStyle w:val="ListParagraph"/>
        <w:numPr>
          <w:ilvl w:val="0"/>
          <w:numId w:val="2"/>
        </w:numPr>
        <w:spacing w:after="120" w:line="29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Golden calculation tables per market, signed off by tax counsel: representative operations (banking fee, remittance, takaful contribution, wakala fee, claim payout) with expected line-by-line output — blocking for pack activation.</w:t>
      </w:r>
    </w:p>
    <w:p>
      <w:pPr>
        <w:pStyle w:val="ListParagraph"/>
        <w:numPr>
          <w:ilvl w:val="0"/>
          <w:numId w:val="2"/>
        </w:numPr>
        <w:spacing w:after="120" w:line="29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Effective-date boundary cases: the day before/on/after a rate change must produce the old/new rates exactly.</w:t>
      </w:r>
    </w:p>
    <w:p>
      <w:pPr>
        <w:pStyle w:val="ListParagraph"/>
        <w:numPr>
          <w:ilvl w:val="0"/>
          <w:numId w:val="2"/>
        </w:numPr>
        <w:spacing w:after="120" w:line="29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Rounding certification per levy against the authority's published rounding rules.</w:t>
      </w:r>
    </w:p>
    <w:p>
      <w:pPr>
        <w:pStyle w:val="ListParagraph"/>
        <w:numPr>
          <w:ilvl w:val="0"/>
          <w:numId w:val="2"/>
        </w:numPr>
        <w:spacing w:after="120" w:line="29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Cross-check with Pricing (10): a quote composed from TaxPort lines reconciles to the same total the golden table predicts.</w:t>
      </w:r>
    </w:p>
    <w:p>
      <w:pPr>
        <w:pStyle w:val="ListParagraph"/>
        <w:numPr>
          <w:ilvl w:val="0"/>
          <w:numId w:val="2"/>
        </w:numPr>
        <w:spacing w:after="120" w:line="29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Annual (PK Finance Act) and ad-hoc rate-change drill: publish new pack version in staging, verify goldens, promote — measured against a target turnaround SLA.</w:t>
      </w:r>
    </w:p>
    <w:p>
      <w:pPr>
        <w:pStyle w:val="Heading1"/>
        <w:spacing w:after="200" w:before="340"/>
      </w:pPr>
      <w:r>
        <w:rPr>
          <w:rFonts w:ascii="Calibri" w:cs="Calibri" w:eastAsia="Calibri" w:hAnsi="Calibri"/>
          <w:b/>
          <w:bCs/>
          <w:color w:val="0B1F3A"/>
          <w:sz w:val="30"/>
          <w:szCs w:val="30"/>
        </w:rPr>
        <w:t xml:space="preserve">7. Testing Requirements</w:t>
      </w:r>
    </w:p>
    <w:p>
      <w:pPr>
        <w:pStyle w:val="ListParagraph"/>
        <w:numPr>
          <w:ilvl w:val="0"/>
          <w:numId w:val="2"/>
        </w:numPr>
        <w:spacing w:after="120" w:line="29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Property-based tests: Σ lines = total for arbitrary amounts and rule combinations; no computation on native number (ESLint money rule); monotonicity where rates are flat percentages.</w:t>
      </w:r>
    </w:p>
    <w:p>
      <w:pPr>
        <w:pStyle w:val="ListParagraph"/>
        <w:numPr>
          <w:ilvl w:val="0"/>
          <w:numId w:val="2"/>
        </w:numPr>
        <w:spacing w:after="120" w:line="29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Determinism test: same inputs + pinned pack version produce byte-identical TaxComputation across runs and releases.</w:t>
      </w:r>
    </w:p>
    <w:p>
      <w:pPr>
        <w:pStyle w:val="ListParagraph"/>
        <w:numPr>
          <w:ilvl w:val="0"/>
          <w:numId w:val="2"/>
        </w:numPr>
        <w:spacing w:after="120" w:line="29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Contract (Pact): provider verification for Banking, Takaful AND Pricing (10) consumers — the Pricing seam crosses TS↔JVM and is blocking.</w:t>
      </w:r>
    </w:p>
    <w:p>
      <w:pPr>
        <w:pStyle w:val="ListParagraph"/>
        <w:numPr>
          <w:ilvl w:val="0"/>
          <w:numId w:val="2"/>
        </w:numPr>
        <w:spacing w:after="120" w:line="29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Pack-schema tests: malformed or overlapping effective-date rows fail validation at publish time, not at computation time.</w:t>
      </w:r>
    </w:p>
    <w:p>
      <w:pPr>
        <w:pStyle w:val="ListParagraph"/>
        <w:numPr>
          <w:ilvl w:val="0"/>
          <w:numId w:val="2"/>
        </w:numPr>
        <w:spacing w:after="120" w:line="29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Isolation/app-scoping per the shared-adapter standard.</w:t>
      </w:r>
    </w:p>
    <w:p>
      <w:pPr>
        <w:pStyle w:val="Heading1"/>
        <w:spacing w:after="200" w:before="340"/>
      </w:pPr>
      <w:r>
        <w:rPr>
          <w:rFonts w:ascii="Calibri" w:cs="Calibri" w:eastAsia="Calibri" w:hAnsi="Calibri"/>
          <w:b/>
          <w:bCs/>
          <w:color w:val="0B1F3A"/>
          <w:sz w:val="30"/>
          <w:szCs w:val="30"/>
        </w:rPr>
        <w:t xml:space="preserve">8. Data Mapping Notes</w:t>
      </w:r>
    </w:p>
    <w:p>
      <w:pPr>
        <w:pStyle w:val="ListParagraph"/>
        <w:numPr>
          <w:ilvl w:val="0"/>
          <w:numId w:val="2"/>
        </w:numPr>
        <w:spacing w:after="120" w:line="29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All amounts in/out are @platform/money integer minor units (PKR/AED/SAR at 2dp); rates are decimal strings applied through the sanctioned Money.applyRate path with the pack's rounding mode.</w:t>
      </w:r>
    </w:p>
    <w:p>
      <w:pPr>
        <w:pStyle w:val="ListParagraph"/>
        <w:numPr>
          <w:ilvl w:val="0"/>
          <w:numId w:val="2"/>
        </w:numPr>
        <w:spacing w:after="120" w:line="29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TaxLine.type enumerates the platform taxonomy (WHT, VAT, PROVINCIAL_SERVICES_TAX, LEVY, STAMP) mapped from each authority's terminology inside the pack — authority-specific names never leak into consumer code.</w:t>
      </w:r>
    </w:p>
    <w:p>
      <w:pPr>
        <w:pStyle w:val="ListParagraph"/>
        <w:numPr>
          <w:ilvl w:val="0"/>
          <w:numId w:val="2"/>
        </w:numPr>
        <w:spacing w:after="120" w:line="29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computationRef links quote/invoice/policy-schedule records to the exact computation for audit replay.</w:t>
      </w:r>
    </w:p>
    <w:p>
      <w:pPr>
        <w:pStyle w:val="ListParagraph"/>
        <w:numPr>
          <w:ilvl w:val="0"/>
          <w:numId w:val="2"/>
        </w:numPr>
        <w:spacing w:after="120" w:line="29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Rule packs live in the control plane's config store (Document 12) under the country pack hierarchy — the same publish/promote/rollback machinery as compliance packs.</w:t>
      </w:r>
    </w:p>
    <w:tbl>
      <w:tblPr>
        <w:tblW w:type="dxa" w:w="9350"/>
        <w:tblBorders>
          <w:top w:val="single" w:color="0A7E79" w:sz="6"/>
          <w:left w:val="single" w:color="0A7E79" w:sz="18"/>
          <w:bottom w:val="single" w:color="0A7E79" w:sz="6"/>
          <w:right w:val="single" w:color="0A7E79" w:sz="6"/>
          <w:insideH w:val="single" w:color="0A7E79" w:sz="6"/>
          <w:insideV w:val="single" w:color="0A7E79" w:sz="6"/>
        </w:tblBorders>
      </w:tblPr>
      <w:tblGrid>
        <w:gridCol w:w="9350"/>
      </w:tblGrid>
      <w:tr>
        <w:tc>
          <w:tcPr>
            <w:tcW w:type="dxa" w:w="9350"/>
            <w:shd w:fill="EAF2F8" w:val="clear"/>
            <w:tcMar>
              <w:top w:type="dxa" w:w="130"/>
              <w:left w:type="dxa" w:w="170"/>
              <w:bottom w:type="dxa" w:w="130"/>
              <w:right w:type="dxa" w:w="170"/>
            </w:tcMar>
          </w:tcPr>
          <w:p>
            <w:pPr>
              <w:spacing w:after="0" w:line="290"/>
            </w:pPr>
            <w:r>
              <w:rPr>
                <w:rFonts w:ascii="Calibri" w:cs="Calibri" w:eastAsia="Calibri" w:hAnsi="Calibri"/>
                <w:b/>
                <w:bCs/>
                <w:color w:val="0A7E79"/>
                <w:sz w:val="21"/>
                <w:szCs w:val="21"/>
              </w:rPr>
              <w:t xml:space="preserve">Dual-consumer governance.  </w:t>
            </w:r>
            <w:r>
              <w:rPr>
                <w:rFonts w:ascii="Calibri" w:cs="Calibri" w:eastAsia="Calibri" w:hAnsi="Calibri"/>
                <w:color w:val="1E2A38"/>
                <w:sz w:val="21"/>
                <w:szCs w:val="21"/>
              </w:rPr>
              <w:t xml:space="preserve">This adapter serves two consumer applications. Its CI runs Pact contract verification for BOTH the Banking and Takaful apps; a change that breaks either consumer cannot merge. Breaking changes ship as vN+1 alongside vN with a published migration window (see the Shared Adapter Platform governance model).</w:t>
            </w:r>
          </w:p>
        </w:tc>
      </w:tr>
    </w:tbl>
    <w:sectPr>
      <w:headerReference w:type="default" r:id="rId7"/>
      <w:footerReference w:type="default" r:id="rId8"/>
      <w:pgSz w:w="12240" w:h="15840" w:orient="portrait"/>
      <w:pgMar w:top="1200" w:right="1440" w:bottom="120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spacing w:after="0"/>
      <w:jc w:val="center"/>
    </w:pPr>
    <w:r>
      <w:rPr>
        <w:rFonts w:ascii="Calibri" w:cs="Calibri" w:eastAsia="Calibri" w:hAnsi="Calibri"/>
        <w:color w:val="5B6B7A"/>
        <w:sz w:val="17"/>
        <w:szCs w:val="17"/>
      </w:rPr>
      <w:t xml:space="preserve">Confidential — Internal Use   ·   Page </w:t>
    </w:r>
    <w:r>
      <w:rPr>
        <w:rFonts w:ascii="Calibri" w:cs="Calibri" w:eastAsia="Calibri" w:hAnsi="Calibri"/>
        <w:color w:val="5B6B7A"/>
        <w:sz w:val="17"/>
        <w:szCs w:val="17"/>
      </w:rPr>
      <w:fldChar w:fldCharType="begin"/>
      <w:instrText xml:space="preserve">PAGE</w:instrText>
      <w:fldChar w:fldCharType="separate"/>
      <w:fldChar w:fldCharType="end"/>
    </w:r>
    <w:r>
      <w:rPr>
        <w:rFonts w:ascii="Calibri" w:cs="Calibri" w:eastAsia="Calibri" w:hAnsi="Calibri"/>
        <w:color w:val="5B6B7A"/>
        <w:sz w:val="17"/>
        <w:szCs w:val="17"/>
      </w:rPr>
      <w:t xml:space="preserve"> of </w:t>
    </w:r>
    <w:r>
      <w:rPr>
        <w:rFonts w:ascii="Calibri" w:cs="Calibri" w:eastAsia="Calibri" w:hAnsi="Calibri"/>
        <w:color w:val="5B6B7A"/>
        <w:sz w:val="17"/>
        <w:szCs w:val="17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spacing w:after="0"/>
      <w:jc w:val="right"/>
    </w:pPr>
    <w:r>
      <w:rPr>
        <w:rFonts w:ascii="Calibri" w:cs="Calibri" w:eastAsia="Calibri" w:hAnsi="Calibri"/>
        <w:color w:val="0A7E79"/>
        <w:sz w:val="17"/>
        <w:szCs w:val="17"/>
      </w:rPr>
      <w:t xml:space="preserve">Document 25 — Country Tax Computation Adapter Specification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start"/>
      <w:pPr>
        <w:ind w:left="460" w:hanging="230"/>
      </w:pPr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color w:val="1E2A38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2026-07-16T18:29:24.064Z</dcterms:created>
  <dcterms:modified xsi:type="dcterms:W3CDTF">2026-07-16T18:29:24.064Z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