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ADAPTER / SPI SPECIFICATION · DOCUMENT 26 · SHARED (BANKING + TAKAFUL)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E-Signature / Consent Capture Adapter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SignaturePort implementations for digital signature, consent and evidence bundles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Captures legally-meaningful signatures and consents — account and mandate agreements for Banking; policy documents, wakala agreements and claim forms for Takaful — and preserves the evidence bundle that makes them defensible.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 title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E-Signature / Consent Capture Adapter Specification — Adapter Specification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Part of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Product Architecture Blueprint v3.1 — extended by the Shared Adapter Platform (Banking + Takaful)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Port name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SignaturePort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Banking app (account/loan/mandate agreements, bureau-inquiry consent) · Takaful app (policy documents, wakala agreement, claim forms) · Credit Bureau adapter (24) verifies ConsentRefs issued here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Implementation (v3.1 rule)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providers per signing scheme (I/O-bound vendor/scheme integration)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draft — nothing built yet; to be designed with both consumer apps at the table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 — Shared Adapter Extension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16 July 2026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Purpose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Creates signing envelopes over one or more documents, routes them to signers through the bound market scheme or vendor, tracks signature status, and — the part that actually matters legally — assembles and preserves the evidence bundle: who signed, authenticated how, when, what document hashes, from what device/channel, under which certificate chain. It also captures standalone consents (e.g. bureau-inquiry consent) as first-class, revocable records that other adapters verify against.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The evidence bundle is the product.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A signature image is decoration; the evidence bundle is what a court or regulator examines. It is stored region-local per the tenant's residency (a KSA signer's evidence never leaves the Kingdom), retained per the compliance pack, hash-chained to the exact document version signed, and exportable as a self-contained artefact.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Port Contract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 As a shared adapter, every call carries both tenant_id and app_id (banking | takaful) — per-app quotas, rate limits and dashboards key on it.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700"/>
        <w:gridCol w:w="1900"/>
        <w:gridCol w:w="2100"/>
        <w:gridCol w:w="2650"/>
      </w:tblGrid>
      <w:tr>
        <w:trPr>
          <w:tblHeader/>
        </w:trPr>
        <w:tc>
          <w:tcPr>
            <w:tcW w:type="dxa" w:w="27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Method</w:t>
            </w:r>
          </w:p>
        </w:tc>
        <w:tc>
          <w:tcPr>
            <w:tcW w:type="dxa" w:w="19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Input</w:t>
            </w:r>
          </w:p>
        </w:tc>
        <w:tc>
          <w:tcPr>
            <w:tcW w:type="dxa" w:w="21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  <w:tc>
          <w:tcPr>
            <w:tcW w:type="dxa" w:w="2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createEnvelope(ctx, documents, signers, workflow)</w:t>
            </w:r>
          </w:p>
        </w:tc>
        <w:tc>
          <w:tcPr>
            <w:tcW w:type="dxa" w:w="1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 refs + signer identities + signing order/rules</w:t>
            </w:r>
          </w:p>
        </w:tc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EnvelopeRef</w:t>
            </w:r>
          </w:p>
        </w:tc>
        <w:tc>
          <w:tcPr>
            <w:tcW w:type="dxa" w:w="2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Documents are hashed at creation; any later change invalidates the envelope</w:t>
            </w:r>
          </w:p>
        </w:tc>
      </w:tr>
      <w:tr>
        <w:tc>
          <w:tcPr>
            <w:tcW w:type="dxa" w:w="2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getStatus(ctx, envelopeRef)</w:t>
            </w:r>
          </w:p>
        </w:tc>
        <w:tc>
          <w:tcPr>
            <w:tcW w:type="dxa" w:w="1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Envelope reference</w:t>
            </w:r>
          </w:p>
        </w:tc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EnvelopeStatus (per-signer state)</w:t>
            </w:r>
          </w:p>
        </w:tc>
        <w:tc>
          <w:tcPr>
            <w:tcW w:type="dxa" w:w="2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Webhook preferred, poll fallback — same pattern as the eKYC adapter</w:t>
            </w:r>
          </w:p>
        </w:tc>
      </w:tr>
      <w:tr>
        <w:tc>
          <w:tcPr>
            <w:tcW w:type="dxa" w:w="2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downloadEvidenceBundle(ctx, envelopeRef)</w:t>
            </w:r>
          </w:p>
        </w:tc>
        <w:tc>
          <w:tcPr>
            <w:tcW w:type="dxa" w:w="1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Completed envelope</w:t>
            </w:r>
          </w:p>
        </w:tc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EvidenceBundle (signed docs + audit trail + certificates)</w:t>
            </w:r>
          </w:p>
        </w:tc>
        <w:tc>
          <w:tcPr>
            <w:tcW w:type="dxa" w:w="2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Region-local object storage; the legal artefact for policies, mandates and agreements</w:t>
            </w:r>
          </w:p>
        </w:tc>
      </w:tr>
      <w:tr>
        <w:tc>
          <w:tcPr>
            <w:tcW w:type="dxa" w:w="2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captureConsent(ctx, subject, consentType, scope, channel)</w:t>
            </w:r>
          </w:p>
        </w:tc>
        <w:tc>
          <w:tcPr>
            <w:tcW w:type="dxa" w:w="1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Subject + consent taxonomy + scope + capture channel</w:t>
            </w:r>
          </w:p>
        </w:tc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ConsentRef (with validity window)</w:t>
            </w:r>
          </w:p>
        </w:tc>
        <w:tc>
          <w:tcPr>
            <w:tcW w:type="dxa" w:w="2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First-class record; consumed by Bureau adapter (24) and any consent-gated flow</w:t>
            </w:r>
          </w:p>
        </w:tc>
      </w:tr>
      <w:tr>
        <w:tc>
          <w:tcPr>
            <w:tcW w:type="dxa" w:w="2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verifyConsent(ctx, consentRef, requiredScope)</w:t>
            </w:r>
          </w:p>
        </w:tc>
        <w:tc>
          <w:tcPr>
            <w:tcW w:type="dxa" w:w="1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ConsentRef + the scope being exercised</w:t>
            </w:r>
          </w:p>
        </w:tc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Valid | Expired | Revoked | ScopeMismatch</w:t>
            </w:r>
          </w:p>
        </w:tc>
        <w:tc>
          <w:tcPr>
            <w:tcW w:type="dxa" w:w="2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Hard gate for consent-dependent operations</w:t>
            </w:r>
          </w:p>
        </w:tc>
      </w:tr>
      <w:tr>
        <w:tc>
          <w:tcPr>
            <w:tcW w:type="dxa" w:w="2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revokeConsent(ctx, consentRef, reason)</w:t>
            </w:r>
          </w:p>
        </w:tc>
        <w:tc>
          <w:tcPr>
            <w:tcW w:type="dxa" w:w="1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ConsentRef</w:t>
            </w:r>
          </w:p>
        </w:tc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Revocation record</w:t>
            </w:r>
          </w:p>
        </w:tc>
        <w:tc>
          <w:tcPr>
            <w:tcW w:type="dxa" w:w="2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Revocation is append-only and immediate; dependent operations fail from that moment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Configuration Schema (Per Tenant / App / Country)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100"/>
        <w:gridCol w:w="1500"/>
        <w:gridCol w:w="1700"/>
        <w:gridCol w:w="4050"/>
      </w:tblGrid>
      <w:tr>
        <w:trPr>
          <w:tblHeader/>
        </w:trPr>
        <w:tc>
          <w:tcPr>
            <w:tcW w:type="dxa" w:w="21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Setting</w:t>
            </w:r>
          </w:p>
        </w:tc>
        <w:tc>
          <w:tcPr>
            <w:tcW w:type="dxa" w:w="1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7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Scope</w:t>
            </w:r>
          </w:p>
        </w:tc>
        <w:tc>
          <w:tcPr>
            <w:tcW w:type="dxa" w:w="4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bound_scheme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enum per doc class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 + app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uaepass_sign (AE) | nafath_linked (SA) | pk_certified_esign (PK) | global_vendor (fallback)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signature_level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enum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 class (pack)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simple | advanced | qualified-equivalent — which document types require which assurance level is a counsel-confirmed pack decision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evidence_retention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duration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Compliance pack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Retention per market/product (insurance policy evidence typically outlives banking mandates)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consent_taxonomy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table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 + pack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The controlled list of consentType + scope values (e.g. bureau_inquiry, marketing, data_sharing)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webhook_secret_ref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vault ref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Provider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Signed callbacks, verified and deduplicated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app_id scoping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built-in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All calls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 the shared-adapter standard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Candidate Providers (Launch Markets)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900"/>
        <w:gridCol w:w="3400"/>
        <w:gridCol w:w="3050"/>
      </w:tblGrid>
      <w:tr>
        <w:trPr>
          <w:tblHeader/>
        </w:trPr>
        <w:tc>
          <w:tcPr>
            <w:tcW w:type="dxa" w:w="29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Provider / authority</w:t>
            </w:r>
          </w:p>
        </w:tc>
        <w:tc>
          <w:tcPr>
            <w:tcW w:type="dxa" w:w="34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Why it's a candidate</w:t>
            </w:r>
          </w:p>
        </w:tc>
        <w:tc>
          <w:tcPr>
            <w:tcW w:type="dxa" w:w="3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Watch-outs</w:t>
            </w:r>
          </w:p>
        </w:tc>
      </w:tr>
      <w:tr>
        <w:tc>
          <w:tcPr>
            <w:tcW w:type="dxa" w:w="2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UAE Pass digital signature (AE)</w:t>
            </w:r>
          </w:p>
        </w:tc>
        <w:tc>
          <w:tcPr>
            <w:tcW w:type="dxa" w:w="3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The national digital identity's signing capability — the expected default for UAE consumer agreements and policy documents</w:t>
            </w:r>
          </w:p>
        </w:tc>
        <w:tc>
          <w:tcPr>
            <w:tcW w:type="dxa" w:w="3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Signature levels and document-class eligibility per current UAE Pass terms; enterprise/KYB signing flows differ from consumer flows</w:t>
            </w:r>
          </w:p>
        </w:tc>
      </w:tr>
      <w:tr>
        <w:tc>
          <w:tcPr>
            <w:tcW w:type="dxa" w:w="2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Nafath-linked signing via approved KSA providers (SA)</w:t>
            </w:r>
          </w:p>
        </w:tc>
        <w:tc>
          <w:tcPr>
            <w:tcW w:type="dxa" w:w="3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Nafath provides the national authentication; qualified signing rides licensed Saudi trust-service providers on top of it</w:t>
            </w:r>
          </w:p>
        </w:tc>
        <w:tc>
          <w:tcPr>
            <w:tcW w:type="dxa" w:w="3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In-Kingdom processing for evidence; the authentication (Nafath) vs signature-creation (TSP) split must be reflected in the evidence bundle</w:t>
            </w:r>
          </w:p>
        </w:tc>
      </w:tr>
      <w:tr>
        <w:tc>
          <w:tcPr>
            <w:tcW w:type="dxa" w:w="2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Certified e-sign providers on the ETO-2002 basis (PK)</w:t>
            </w:r>
          </w:p>
        </w:tc>
        <w:tc>
          <w:tcPr>
            <w:tcW w:type="dxa" w:w="3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Pakistan's Electronic Transactions Ordinance 2002 gives electronic signatures legal effect; certified providers under the ECAC accreditation regime strengthen evidentiary weight</w:t>
            </w:r>
          </w:p>
        </w:tc>
        <w:tc>
          <w:tcPr>
            <w:tcW w:type="dxa" w:w="3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Assurance-level taxonomy is less standardized than AE/SA — the pack's signature_level mapping for PK needs explicit counsel sign-off per document class</w:t>
            </w:r>
          </w:p>
        </w:tc>
      </w:tr>
      <w:tr>
        <w:tc>
          <w:tcPr>
            <w:tcW w:type="dxa" w:w="2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Global e-signature vendor (DocuSign-class) as fallback</w:t>
            </w:r>
          </w:p>
        </w:tc>
        <w:tc>
          <w:tcPr>
            <w:tcW w:type="dxa" w:w="3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Cross-border signers, corporate/KYB counterparties, and any market gap during scheme certification</w:t>
            </w:r>
          </w:p>
        </w:tc>
        <w:tc>
          <w:tcPr>
            <w:tcW w:type="dxa" w:w="3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Vendor evidence format must map into the platform's EvidenceBundle shape; residency pinning of vendor storage must be verified per market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Scheme/vendor downtime queues envelopes with expiry alerts — a signing outage delays onboarding/claims but never silently downgrades the signature level to 'whatever is available'.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Webhook callbacks are signature-verified and deduplicated by (provider, envelopeRef, event); poll fallback covers late or lost callbacks.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Document hash mismatch at any point voids the envelope with a distinct error — tamper attempts are loud.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verification (verifyConsent) is a local, highly-available read path — it must not depend on the external scheme being up.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Evidence bundles are written region-local before an envelope is reported complete; a bundle-write failure keeps the envelope in PENDING_EVIDENCE, never silently complete.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Certification Checklist (Per Provider, Per Market)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Signature validity vectors per scheme: valid, expired-certificate, wrong-signer-identity, and tampered-document cases — expected outcomes asserted.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Evidence bundle completeness audit: identity, auth method, timestamps (trusted source), document hashes, certificate chain, channel/device — every field present and internally consistent.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Residency: SA-tenant envelopes and evidence produce zero non-Kingdom egress (network-policy assertion).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lifecycle: capture → verify → exercise (bureau inquiry via Document 24) → revoke → verify-fails — end-to-end across both adapters.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Legal sign-off per market: counsel confirms the signature_level mapping per document class (policy, wakala, mandate, claim form) before the pack activates.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Contract (Pact): provider verification for Banking, Takaful AND the Bureau adapter (24) as consumers — blocking in CI.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Component: provider sandbox/WireMock covering completed / declined / expired / tampered / duplicate-callback flows.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Hash-chain property test: any byte change in a document produces a detectable envelope invalidation.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RTL rendering check: ur-PK (Nastaliq) and ar-AE/ar-SA documents render and hash deterministically through the signing pipeline.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Isolation/app-scoping per the shared-adapter standard; consent records are tenant- and app-scoped.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EnvelopeRef, ConsentRef and EvidenceBundle references follow the platform ID conventions and carry tenant_id + app_id.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records: { consentRef, subject, consentType, scope[], capturedVia, validFrom, validUntil, revokedAt?, evidenceRef } — append-only; revocation is a new record, not an update.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Documents are referenced by content hash + object-storage ref; the adapter never stores document bodies in service databases.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Signer identities reuse the Identity service's canonical customer identifiers; external counterparties (KYB signers) get scoped external-party records.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Dual-consumer governance.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This adapter serves two consumer applications. Its CI runs Pact contract verification for BOTH the Banking and Takaful apps; a change that breaks either consumer cannot merge. Breaking changes ship as vN+1 alongside vN with a published migration window (see the Shared Adapter Platform governance model).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Document 26 — E-Signature / Consent Capture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2026-07-16T18:29:24.097Z</dcterms:created>
  <dcterms:modified xsi:type="dcterms:W3CDTF">2026-07-16T18:29:24.097Z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