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40" w:before="700"/>
      </w:pPr>
      <w:r>
        <w:rPr>
          <w:rFonts w:ascii="Calibri" w:cs="Calibri" w:eastAsia="Calibri" w:hAnsi="Calibri"/>
          <w:b/>
          <w:bCs/>
          <w:color w:val="0A7E79"/>
          <w:sz w:val="21"/>
          <w:szCs w:val="21"/>
        </w:rPr>
        <w:t xml:space="preserve">FEATURE SPECIFICATION · SERVICE · Service 02</w:t>
      </w:r>
    </w:p>
    <w:p>
      <w:pPr>
        <w:spacing w:after="200"/>
      </w:pPr>
      <w:r>
        <w:rPr>
          <w:rFonts w:ascii="Calibri" w:cs="Calibri" w:eastAsia="Calibri" w:hAnsi="Calibri"/>
          <w:b/>
          <w:bCs/>
          <w:color w:val="0B1F3A"/>
          <w:sz w:val="52"/>
          <w:szCs w:val="52"/>
        </w:rPr>
        <w:t xml:space="preserve">Identity, KYC/KYB &amp; Onboarding Service — Feature Specification</w:t>
      </w:r>
    </w:p>
    <w:p>
      <w:pPr>
        <w:spacing w:after="200"/>
      </w:pPr>
      <w:r>
        <w:rPr>
          <w:rFonts w:ascii="Calibri" w:cs="Calibri" w:eastAsia="Calibri" w:hAnsi="Calibri"/>
          <w:b/>
          <w:bCs/>
          <w:color w:val="0A7E79"/>
          <w:sz w:val="27"/>
          <w:szCs w:val="27"/>
        </w:rPr>
        <w:t xml:space="preserve">Customer &amp; business identity, verification, risk tiering and onboarding orchestration</w:t>
      </w:r>
    </w:p>
    <w:p>
      <w:pPr>
        <w:spacing w:after="420"/>
      </w:pPr>
      <w:r>
        <w:rPr>
          <w:rFonts w:ascii="Calibri" w:cs="Calibri" w:eastAsia="Calibri" w:hAnsi="Calibri"/>
          <w:i/>
          <w:iCs/>
          <w:color w:val="5B6B7A"/>
          <w:sz w:val="22"/>
          <w:szCs w:val="22"/>
        </w:rPr>
        <w:t xml:space="preserve">The front door: it registers who a customer or business is, proves it via eKYC/eKYB, assigns a risk tier, and orchestrates the onboarding journey — for both the banking and takaful apps.</w:t>
      </w:r>
    </w:p>
    <w:tbl>
      <w:tblPr>
        <w:tblW w:type="dxa" w:w="9350"/>
        <w:tblBorders>
          <w:top w:val="single" w:color="D8E2E8" w:sz="4"/>
          <w:left w:val="single" w:color="D8E2E8" w:sz="4"/>
          <w:bottom w:val="single" w:color="D8E2E8" w:sz="4"/>
          <w:right w:val="single" w:color="D8E2E8" w:sz="4"/>
          <w:insideH w:val="single" w:color="D8E2E8" w:sz="4"/>
          <w:insideV w:val="single" w:color="D8E2E8" w:sz="4"/>
        </w:tblBorders>
      </w:tblPr>
      <w:tblGrid>
        <w:gridCol w:w="2300"/>
        <w:gridCol w:w="7050"/>
      </w:tblGrid>
      <w:tr>
        <w:trPr>
          <w:tblHeader/>
        </w:trPr>
        <w:tc>
          <w:tcPr>
            <w:tcW w:type="dxa" w:w="2300"/>
            <w:shd w:fill="0B1F3A" w:val="clear"/>
            <w:tcMar>
              <w:top w:type="dxa" w:w="90"/>
              <w:left w:type="dxa" w:w="130"/>
              <w:bottom w:type="dxa" w:w="90"/>
              <w:right w:type="dxa" w:w="130"/>
            </w:tcMar>
          </w:tcPr>
          <w:p>
            <w:pPr>
              <w:spacing w:after="0" w:line="260"/>
            </w:pPr>
            <w:r>
              <w:rPr>
                <w:rFonts w:ascii="Calibri" w:cs="Calibri" w:eastAsia="Calibri" w:hAnsi="Calibri"/>
                <w:b/>
                <w:bCs/>
                <w:color w:val="FFFFFF"/>
                <w:sz w:val="20"/>
                <w:szCs w:val="20"/>
              </w:rPr>
              <w:t xml:space="preserve">Field</w:t>
            </w:r>
          </w:p>
        </w:tc>
        <w:tc>
          <w:tcPr>
            <w:tcW w:type="dxa" w:w="7050"/>
            <w:shd w:fill="0B1F3A" w:val="clear"/>
            <w:tcMar>
              <w:top w:type="dxa" w:w="90"/>
              <w:left w:type="dxa" w:w="130"/>
              <w:bottom w:type="dxa" w:w="90"/>
              <w:right w:type="dxa" w:w="130"/>
            </w:tcMar>
          </w:tcPr>
          <w:p>
            <w:pPr>
              <w:spacing w:after="0" w:line="260"/>
            </w:pPr>
            <w:r>
              <w:rPr>
                <w:rFonts w:ascii="Calibri" w:cs="Calibri" w:eastAsia="Calibri" w:hAnsi="Calibri"/>
                <w:b/>
                <w:bCs/>
                <w:color w:val="FFFFFF"/>
                <w:sz w:val="20"/>
                <w:szCs w:val="20"/>
              </w:rPr>
              <w:t xml:space="preserve">Details</w:t>
            </w:r>
          </w:p>
        </w:tc>
      </w:tr>
      <w:tr>
        <w:tc>
          <w:tcPr>
            <w:tcW w:type="dxa" w:w="23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Component</w:t>
            </w:r>
          </w:p>
        </w:tc>
        <w:tc>
          <w:tcPr>
            <w:tcW w:type="dxa" w:w="70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Identity, KYC/KYB &amp; Onboarding Service (Service 02)</w:t>
            </w:r>
          </w:p>
        </w:tc>
      </w:tr>
      <w:tr>
        <w:tc>
          <w:tcPr>
            <w:tcW w:type="dxa" w:w="23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Type</w:t>
            </w:r>
          </w:p>
        </w:tc>
        <w:tc>
          <w:tcPr>
            <w:tcW w:type="dxa" w:w="70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Domain / platform service</w:t>
            </w:r>
          </w:p>
        </w:tc>
      </w:tr>
      <w:tr>
        <w:tc>
          <w:tcPr>
            <w:tcW w:type="dxa" w:w="23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Runtime</w:t>
            </w:r>
          </w:p>
        </w:tc>
        <w:tc>
          <w:tcPr>
            <w:tcW w:type="dxa" w:w="70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NestJS 10 / TypeScript strict · PostgreSQL 16</w:t>
            </w:r>
          </w:p>
        </w:tc>
      </w:tr>
      <w:tr>
        <w:tc>
          <w:tcPr>
            <w:tcW w:type="dxa" w:w="23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Owning squad</w:t>
            </w:r>
          </w:p>
        </w:tc>
        <w:tc>
          <w:tcPr>
            <w:tcW w:type="dxa" w:w="70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Identity &amp; Onboarding</w:t>
            </w:r>
          </w:p>
        </w:tc>
      </w:tr>
      <w:tr>
        <w:tc>
          <w:tcPr>
            <w:tcW w:type="dxa" w:w="23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Consumes / depends on</w:t>
            </w:r>
          </w:p>
        </w:tc>
        <w:tc>
          <w:tcPr>
            <w:tcW w:type="dxa" w:w="70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eKYC adapter (16), Screening (03), Notification (13), Control Plane (12), Persistence (14), OIDC (22)</w:t>
            </w:r>
          </w:p>
        </w:tc>
      </w:tr>
      <w:tr>
        <w:tc>
          <w:tcPr>
            <w:tcW w:type="dxa" w:w="23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Consumed by</w:t>
            </w:r>
          </w:p>
        </w:tc>
        <w:tc>
          <w:tcPr>
            <w:tcW w:type="dxa" w:w="70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Banking app, Takaful app, Developer Platform/BFF (11)</w:t>
            </w:r>
          </w:p>
        </w:tc>
      </w:tr>
      <w:tr>
        <w:tc>
          <w:tcPr>
            <w:tcW w:type="dxa" w:w="23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Design companion</w:t>
            </w:r>
          </w:p>
        </w:tc>
        <w:tc>
          <w:tcPr>
            <w:tcW w:type="dxa" w:w="70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02_identity.design.md</w:t>
            </w:r>
          </w:p>
        </w:tc>
      </w:tr>
      <w:tr>
        <w:tc>
          <w:tcPr>
            <w:tcW w:type="dxa" w:w="23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Status</w:t>
            </w:r>
          </w:p>
        </w:tc>
        <w:tc>
          <w:tcPr>
            <w:tcW w:type="dxa" w:w="70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Design stage — nothing built yet; features below are the target scope to build</w:t>
            </w:r>
          </w:p>
        </w:tc>
      </w:tr>
      <w:tr>
        <w:tc>
          <w:tcPr>
            <w:tcW w:type="dxa" w:w="23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Version</w:t>
            </w:r>
          </w:p>
        </w:tc>
        <w:tc>
          <w:tcPr>
            <w:tcW w:type="dxa" w:w="70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1.0</w:t>
            </w:r>
          </w:p>
        </w:tc>
      </w:tr>
      <w:tr>
        <w:tc>
          <w:tcPr>
            <w:tcW w:type="dxa" w:w="23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Date</w:t>
            </w:r>
          </w:p>
        </w:tc>
        <w:tc>
          <w:tcPr>
            <w:tcW w:type="dxa" w:w="70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17 July 2026</w:t>
            </w:r>
          </w:p>
        </w:tc>
      </w:tr>
      <w:tr>
        <w:tc>
          <w:tcPr>
            <w:tcW w:type="dxa" w:w="23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Classification</w:t>
            </w:r>
          </w:p>
        </w:tc>
        <w:tc>
          <w:tcPr>
            <w:tcW w:type="dxa" w:w="70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Confidential — Internal Use</w:t>
            </w:r>
          </w:p>
        </w:tc>
      </w:tr>
    </w:tbl>
    <w:p>
      <w:r>
        <w:br w:type="page"/>
      </w:r>
    </w:p>
    <w:p>
      <w:pPr>
        <w:pStyle w:val="Heading1"/>
        <w:spacing w:after="200" w:before="340"/>
      </w:pPr>
      <w:r>
        <w:rPr>
          <w:rFonts w:ascii="Calibri" w:cs="Calibri" w:eastAsia="Calibri" w:hAnsi="Calibri"/>
          <w:b/>
          <w:bCs/>
          <w:color w:val="0B1F3A"/>
          <w:sz w:val="30"/>
          <w:szCs w:val="30"/>
        </w:rPr>
        <w:t xml:space="preserve">1. Overview</w:t>
      </w:r>
    </w:p>
    <w:p>
      <w:pPr>
        <w:spacing w:after="160" w:line="300"/>
      </w:pPr>
      <w:r>
        <w:rPr>
          <w:rFonts w:ascii="Calibri" w:cs="Calibri" w:eastAsia="Calibri" w:hAnsi="Calibri"/>
          <w:color w:val="1E2A38"/>
          <w:sz w:val="22"/>
          <w:szCs w:val="22"/>
        </w:rPr>
        <w:t xml:space="preserve">This service is the system of record for customers (retail) and businesses (corporate/KYB), and for the verification cases that prove their identity. It computes and maintains a risk tier per customer from verification outcomes, screening signals, geography and product, and it drives the onboarding workflow from first application to activated relationship. Everything it does is scoped by the tenant's assigned compliance pack, so the same code onboards a Pakistani remittance customer and a UAE takaful participant with different rules.</w:t>
      </w:r>
    </w:p>
    <w:tbl>
      <w:tblPr>
        <w:tblW w:type="dxa" w:w="9350"/>
        <w:tblBorders>
          <w:top w:val="single" w:color="0A7E79" w:sz="6"/>
          <w:left w:val="single" w:color="0A7E79" w:sz="18"/>
          <w:bottom w:val="single" w:color="0A7E79" w:sz="6"/>
          <w:right w:val="single" w:color="0A7E79" w:sz="6"/>
          <w:insideH w:val="single" w:color="0A7E79" w:sz="6"/>
          <w:insideV w:val="single" w:color="0A7E79" w:sz="6"/>
        </w:tblBorders>
      </w:tblPr>
      <w:tblGrid>
        <w:gridCol w:w="9350"/>
      </w:tblGrid>
      <w:tr>
        <w:tc>
          <w:tcPr>
            <w:tcW w:type="dxa" w:w="9350"/>
            <w:shd w:fill="EAF2F8" w:val="clear"/>
            <w:tcMar>
              <w:top w:type="dxa" w:w="130"/>
              <w:left w:type="dxa" w:w="170"/>
              <w:bottom w:type="dxa" w:w="130"/>
              <w:right w:type="dxa" w:w="170"/>
            </w:tcMar>
          </w:tcPr>
          <w:p>
            <w:pPr>
              <w:spacing w:after="0" w:line="290"/>
            </w:pPr>
            <w:r>
              <w:rPr>
                <w:rFonts w:ascii="Calibri" w:cs="Calibri" w:eastAsia="Calibri" w:hAnsi="Calibri"/>
                <w:b/>
                <w:bCs/>
                <w:color w:val="0A7E79"/>
                <w:sz w:val="21"/>
                <w:szCs w:val="21"/>
              </w:rPr>
              <w:t xml:space="preserve">Single responsibility.  </w:t>
            </w:r>
            <w:r>
              <w:rPr>
                <w:rFonts w:ascii="Calibri" w:cs="Calibri" w:eastAsia="Calibri" w:hAnsi="Calibri"/>
                <w:color w:val="1E2A38"/>
                <w:sz w:val="21"/>
                <w:szCs w:val="21"/>
              </w:rPr>
              <w:t xml:space="preserve">It proves and records identity and risk. It does not screen against sanctions lists itself (that is Screening, 03), verify documents itself (that is the eKYC adapter, 16), or hold any money (that is Ledger, 04). It orchestrates those, and owns the resulting customer profile and risk tier.</w:t>
            </w:r>
          </w:p>
        </w:tc>
      </w:tr>
    </w:tbl>
    <w:p>
      <w:pPr>
        <w:pStyle w:val="Heading1"/>
        <w:spacing w:after="200" w:before="340"/>
      </w:pPr>
      <w:r>
        <w:rPr>
          <w:rFonts w:ascii="Calibri" w:cs="Calibri" w:eastAsia="Calibri" w:hAnsi="Calibri"/>
          <w:b/>
          <w:bCs/>
          <w:color w:val="0B1F3A"/>
          <w:sz w:val="30"/>
          <w:szCs w:val="30"/>
        </w:rPr>
        <w:t xml:space="preserve">2. Scope</w:t>
      </w:r>
    </w:p>
    <w:p>
      <w:pPr>
        <w:pStyle w:val="Heading2"/>
        <w:spacing w:after="160" w:before="260"/>
      </w:pPr>
      <w:r>
        <w:rPr>
          <w:rFonts w:ascii="Calibri" w:cs="Calibri" w:eastAsia="Calibri" w:hAnsi="Calibri"/>
          <w:b/>
          <w:bCs/>
          <w:color w:val="0A7E79"/>
          <w:sz w:val="25"/>
          <w:szCs w:val="25"/>
        </w:rPr>
        <w:t xml:space="preserve">2.1 In scope</w:t>
      </w:r>
    </w:p>
    <w:p>
      <w:pPr>
        <w:pStyle w:val="ListParagraph"/>
        <w:numPr>
          <w:ilvl w:val="0"/>
          <w:numId w:val="2"/>
        </w:numPr>
        <w:spacing w:after="120" w:line="290"/>
      </w:pPr>
      <w:r>
        <w:rPr>
          <w:rFonts w:ascii="Calibri" w:cs="Calibri" w:eastAsia="Calibri" w:hAnsi="Calibri"/>
          <w:color w:val="1E2A38"/>
          <w:sz w:val="22"/>
          <w:szCs w:val="22"/>
        </w:rPr>
        <w:t xml:space="preserve">Retail customer registration and lifecycle (active/dormant/closed).</w:t>
      </w:r>
    </w:p>
    <w:p>
      <w:pPr>
        <w:pStyle w:val="ListParagraph"/>
        <w:numPr>
          <w:ilvl w:val="0"/>
          <w:numId w:val="2"/>
        </w:numPr>
        <w:spacing w:after="120" w:line="290"/>
      </w:pPr>
      <w:r>
        <w:rPr>
          <w:rFonts w:ascii="Calibri" w:cs="Calibri" w:eastAsia="Calibri" w:hAnsi="Calibri"/>
          <w:color w:val="1E2A38"/>
          <w:sz w:val="22"/>
          <w:szCs w:val="22"/>
        </w:rPr>
        <w:t xml:space="preserve">Business (KYB) registration, including ultimate-beneficial-owner (UBO) capture and verification.</w:t>
      </w:r>
    </w:p>
    <w:p>
      <w:pPr>
        <w:pStyle w:val="ListParagraph"/>
        <w:numPr>
          <w:ilvl w:val="0"/>
          <w:numId w:val="2"/>
        </w:numPr>
        <w:spacing w:after="120" w:line="290"/>
      </w:pPr>
      <w:r>
        <w:rPr>
          <w:rFonts w:ascii="Calibri" w:cs="Calibri" w:eastAsia="Calibri" w:hAnsi="Calibri"/>
          <w:color w:val="1E2A38"/>
          <w:sz w:val="22"/>
          <w:szCs w:val="22"/>
        </w:rPr>
        <w:t xml:space="preserve">Verification case management (document, liveness/biometric, national-ID and business-registry lookups) via the eKYC adapter.</w:t>
      </w:r>
    </w:p>
    <w:p>
      <w:pPr>
        <w:pStyle w:val="ListParagraph"/>
        <w:numPr>
          <w:ilvl w:val="0"/>
          <w:numId w:val="2"/>
        </w:numPr>
        <w:spacing w:after="120" w:line="290"/>
      </w:pPr>
      <w:r>
        <w:rPr>
          <w:rFonts w:ascii="Calibri" w:cs="Calibri" w:eastAsia="Calibri" w:hAnsi="Calibri"/>
          <w:color w:val="1E2A38"/>
          <w:sz w:val="22"/>
          <w:szCs w:val="22"/>
        </w:rPr>
        <w:t xml:space="preserve">Risk-tier computation and re-computation (UNRATED → LOW/MEDIUM/HIGH) from verification, screening, geography and product.</w:t>
      </w:r>
    </w:p>
    <w:p>
      <w:pPr>
        <w:pStyle w:val="ListParagraph"/>
        <w:numPr>
          <w:ilvl w:val="0"/>
          <w:numId w:val="2"/>
        </w:numPr>
        <w:spacing w:after="120" w:line="290"/>
      </w:pPr>
      <w:r>
        <w:rPr>
          <w:rFonts w:ascii="Calibri" w:cs="Calibri" w:eastAsia="Calibri" w:hAnsi="Calibri"/>
          <w:color w:val="1E2A38"/>
          <w:sz w:val="22"/>
          <w:szCs w:val="22"/>
        </w:rPr>
        <w:t xml:space="preserve">Onboarding workflow orchestration with per-tier SLAs and pack-driven required checks.</w:t>
      </w:r>
    </w:p>
    <w:p>
      <w:pPr>
        <w:pStyle w:val="ListParagraph"/>
        <w:numPr>
          <w:ilvl w:val="0"/>
          <w:numId w:val="2"/>
        </w:numPr>
        <w:spacing w:after="120" w:line="290"/>
      </w:pPr>
      <w:r>
        <w:rPr>
          <w:rFonts w:ascii="Calibri" w:cs="Calibri" w:eastAsia="Calibri" w:hAnsi="Calibri"/>
          <w:color w:val="1E2A38"/>
          <w:sz w:val="22"/>
          <w:szCs w:val="22"/>
        </w:rPr>
        <w:t xml:space="preserve">Re-verification / periodic KYC refresh scheduling per tier.</w:t>
      </w:r>
    </w:p>
    <w:p>
      <w:pPr>
        <w:pStyle w:val="Heading2"/>
        <w:spacing w:after="160" w:before="260"/>
      </w:pPr>
      <w:r>
        <w:rPr>
          <w:rFonts w:ascii="Calibri" w:cs="Calibri" w:eastAsia="Calibri" w:hAnsi="Calibri"/>
          <w:b/>
          <w:bCs/>
          <w:color w:val="0A7E79"/>
          <w:sz w:val="25"/>
          <w:szCs w:val="25"/>
        </w:rPr>
        <w:t xml:space="preserve">2.2 Explicitly out of scope</w:t>
      </w:r>
    </w:p>
    <w:p>
      <w:pPr>
        <w:pStyle w:val="ListParagraph"/>
        <w:numPr>
          <w:ilvl w:val="0"/>
          <w:numId w:val="2"/>
        </w:numPr>
        <w:spacing w:after="120" w:line="290"/>
      </w:pPr>
      <w:r>
        <w:rPr>
          <w:rFonts w:ascii="Calibri" w:cs="Calibri" w:eastAsia="Calibri" w:hAnsi="Calibri"/>
          <w:color w:val="1E2A38"/>
          <w:sz w:val="22"/>
          <w:szCs w:val="22"/>
        </w:rPr>
        <w:t xml:space="preserve">Sanctions/PEP/adverse-media screening (Screening service, 03).</w:t>
      </w:r>
    </w:p>
    <w:p>
      <w:pPr>
        <w:pStyle w:val="ListParagraph"/>
        <w:numPr>
          <w:ilvl w:val="0"/>
          <w:numId w:val="2"/>
        </w:numPr>
        <w:spacing w:after="120" w:line="290"/>
      </w:pPr>
      <w:r>
        <w:rPr>
          <w:rFonts w:ascii="Calibri" w:cs="Calibri" w:eastAsia="Calibri" w:hAnsi="Calibri"/>
          <w:color w:val="1E2A38"/>
          <w:sz w:val="22"/>
          <w:szCs w:val="22"/>
        </w:rPr>
        <w:t xml:space="preserve">The actual document/biometric verification (eKYC adapter, 16).</w:t>
      </w:r>
    </w:p>
    <w:p>
      <w:pPr>
        <w:pStyle w:val="ListParagraph"/>
        <w:numPr>
          <w:ilvl w:val="0"/>
          <w:numId w:val="2"/>
        </w:numPr>
        <w:spacing w:after="120" w:line="290"/>
      </w:pPr>
      <w:r>
        <w:rPr>
          <w:rFonts w:ascii="Calibri" w:cs="Calibri" w:eastAsia="Calibri" w:hAnsi="Calibri"/>
          <w:color w:val="1E2A38"/>
          <w:sz w:val="22"/>
          <w:szCs w:val="22"/>
        </w:rPr>
        <w:t xml:space="preserve">Authentication / login (OIDC adapter, 22).</w:t>
      </w:r>
    </w:p>
    <w:p>
      <w:pPr>
        <w:pStyle w:val="ListParagraph"/>
        <w:numPr>
          <w:ilvl w:val="0"/>
          <w:numId w:val="2"/>
        </w:numPr>
        <w:spacing w:after="120" w:line="290"/>
      </w:pPr>
      <w:r>
        <w:rPr>
          <w:rFonts w:ascii="Calibri" w:cs="Calibri" w:eastAsia="Calibri" w:hAnsi="Calibri"/>
          <w:color w:val="1E2A38"/>
          <w:sz w:val="22"/>
          <w:szCs w:val="22"/>
        </w:rPr>
        <w:t xml:space="preserve">Any account or balance (Wallets 06 / Ledger 04).</w:t>
      </w:r>
    </w:p>
    <w:p>
      <w:pPr>
        <w:pStyle w:val="ListParagraph"/>
        <w:numPr>
          <w:ilvl w:val="0"/>
          <w:numId w:val="2"/>
        </w:numPr>
        <w:spacing w:after="120" w:line="290"/>
      </w:pPr>
      <w:r>
        <w:rPr>
          <w:rFonts w:ascii="Calibri" w:cs="Calibri" w:eastAsia="Calibri" w:hAnsi="Calibri"/>
          <w:color w:val="1E2A38"/>
          <w:sz w:val="22"/>
          <w:szCs w:val="22"/>
        </w:rPr>
        <w:t xml:space="preserve">Regulatory reporting of onboarded customers (Compliance Reporting, 08).</w:t>
      </w:r>
    </w:p>
    <w:p>
      <w:pPr>
        <w:pStyle w:val="Heading1"/>
        <w:spacing w:after="200" w:before="340"/>
      </w:pPr>
      <w:r>
        <w:rPr>
          <w:rFonts w:ascii="Calibri" w:cs="Calibri" w:eastAsia="Calibri" w:hAnsi="Calibri"/>
          <w:b/>
          <w:bCs/>
          <w:color w:val="0B1F3A"/>
          <w:sz w:val="30"/>
          <w:szCs w:val="30"/>
        </w:rPr>
        <w:t xml:space="preserve">3. Feature Catalogue (MoSCoW)</w:t>
      </w:r>
    </w:p>
    <w:p>
      <w:pPr>
        <w:spacing w:after="160" w:line="300"/>
      </w:pPr>
      <w:r>
        <w:rPr>
          <w:rFonts w:ascii="Calibri" w:cs="Calibri" w:eastAsia="Calibri" w:hAnsi="Calibri"/>
          <w:color w:val="1E2A38"/>
          <w:sz w:val="22"/>
          <w:szCs w:val="22"/>
        </w:rPr>
        <w:t xml:space="preserve">Features grouped by capability area. Priority uses MoSCoW: Must = required for the Pakistan pilot; Should = needed for a complete first release; Could = valuable later; Won't = explicitly deferred (recorded so it is a decision, not an omission).</w:t>
      </w:r>
    </w:p>
    <w:p>
      <w:pPr>
        <w:pStyle w:val="Heading2"/>
        <w:spacing w:after="160" w:before="260"/>
      </w:pPr>
      <w:r>
        <w:rPr>
          <w:rFonts w:ascii="Calibri" w:cs="Calibri" w:eastAsia="Calibri" w:hAnsi="Calibri"/>
          <w:b/>
          <w:bCs/>
          <w:color w:val="0A7E79"/>
          <w:sz w:val="25"/>
          <w:szCs w:val="25"/>
        </w:rPr>
        <w:t xml:space="preserve">3.1 Customer &amp; business records</w:t>
      </w:r>
    </w:p>
    <w:tbl>
      <w:tblPr>
        <w:tblW w:type="dxa" w:w="9000"/>
        <w:tblBorders>
          <w:top w:val="single" w:color="D8E2E8" w:sz="4"/>
          <w:left w:val="single" w:color="D8E2E8" w:sz="4"/>
          <w:bottom w:val="single" w:color="D8E2E8" w:sz="4"/>
          <w:right w:val="single" w:color="D8E2E8" w:sz="4"/>
          <w:insideH w:val="single" w:color="D8E2E8" w:sz="4"/>
          <w:insideV w:val="single" w:color="D8E2E8" w:sz="4"/>
        </w:tblBorders>
      </w:tblPr>
      <w:tblGrid>
        <w:gridCol w:w="650"/>
        <w:gridCol w:w="2600"/>
        <w:gridCol w:w="4550"/>
        <w:gridCol w:w="1200"/>
      </w:tblGrid>
      <w:tr>
        <w:trPr>
          <w:tblHeader/>
        </w:trPr>
        <w:tc>
          <w:tcPr>
            <w:tcW w:type="dxa" w:w="650"/>
            <w:shd w:fill="0B1F3A" w:val="clear"/>
            <w:tcMar>
              <w:top w:type="dxa" w:w="90"/>
              <w:left w:type="dxa" w:w="130"/>
              <w:bottom w:type="dxa" w:w="90"/>
              <w:right w:type="dxa" w:w="130"/>
            </w:tcMar>
          </w:tcPr>
          <w:p>
            <w:pPr>
              <w:spacing w:after="0" w:line="260"/>
            </w:pPr>
            <w:r>
              <w:rPr>
                <w:rFonts w:ascii="Calibri" w:cs="Calibri" w:eastAsia="Calibri" w:hAnsi="Calibri"/>
                <w:b/>
                <w:bCs/>
                <w:color w:val="FFFFFF"/>
                <w:sz w:val="20"/>
                <w:szCs w:val="20"/>
              </w:rPr>
              <w:t xml:space="preserve">#</w:t>
            </w:r>
          </w:p>
        </w:tc>
        <w:tc>
          <w:tcPr>
            <w:tcW w:type="dxa" w:w="2600"/>
            <w:shd w:fill="0B1F3A" w:val="clear"/>
            <w:tcMar>
              <w:top w:type="dxa" w:w="90"/>
              <w:left w:type="dxa" w:w="130"/>
              <w:bottom w:type="dxa" w:w="90"/>
              <w:right w:type="dxa" w:w="130"/>
            </w:tcMar>
          </w:tcPr>
          <w:p>
            <w:pPr>
              <w:spacing w:after="0" w:line="260"/>
            </w:pPr>
            <w:r>
              <w:rPr>
                <w:rFonts w:ascii="Calibri" w:cs="Calibri" w:eastAsia="Calibri" w:hAnsi="Calibri"/>
                <w:b/>
                <w:bCs/>
                <w:color w:val="FFFFFF"/>
                <w:sz w:val="20"/>
                <w:szCs w:val="20"/>
              </w:rPr>
              <w:t xml:space="preserve">Feature</w:t>
            </w:r>
          </w:p>
        </w:tc>
        <w:tc>
          <w:tcPr>
            <w:tcW w:type="dxa" w:w="4550"/>
            <w:shd w:fill="0B1F3A" w:val="clear"/>
            <w:tcMar>
              <w:top w:type="dxa" w:w="90"/>
              <w:left w:type="dxa" w:w="130"/>
              <w:bottom w:type="dxa" w:w="90"/>
              <w:right w:type="dxa" w:w="130"/>
            </w:tcMar>
          </w:tcPr>
          <w:p>
            <w:pPr>
              <w:spacing w:after="0" w:line="260"/>
            </w:pPr>
            <w:r>
              <w:rPr>
                <w:rFonts w:ascii="Calibri" w:cs="Calibri" w:eastAsia="Calibri" w:hAnsi="Calibri"/>
                <w:b/>
                <w:bCs/>
                <w:color w:val="FFFFFF"/>
                <w:sz w:val="20"/>
                <w:szCs w:val="20"/>
              </w:rPr>
              <w:t xml:space="preserve">What it does</w:t>
            </w:r>
          </w:p>
        </w:tc>
        <w:tc>
          <w:tcPr>
            <w:tcW w:type="dxa" w:w="1200"/>
            <w:shd w:fill="0B1F3A" w:val="clear"/>
            <w:tcMar>
              <w:top w:type="dxa" w:w="90"/>
              <w:left w:type="dxa" w:w="130"/>
              <w:bottom w:type="dxa" w:w="90"/>
              <w:right w:type="dxa" w:w="130"/>
            </w:tcMar>
          </w:tcPr>
          <w:p>
            <w:pPr>
              <w:spacing w:after="0" w:line="260"/>
            </w:pPr>
            <w:r>
              <w:rPr>
                <w:rFonts w:ascii="Calibri" w:cs="Calibri" w:eastAsia="Calibri" w:hAnsi="Calibri"/>
                <w:b/>
                <w:bCs/>
                <w:color w:val="FFFFFF"/>
                <w:sz w:val="20"/>
                <w:szCs w:val="20"/>
              </w:rPr>
              <w:t xml:space="preserve">Priority</w:t>
            </w:r>
          </w:p>
        </w:tc>
      </w:tr>
      <w:tr>
        <w:tc>
          <w:tcPr>
            <w:tcW w:type="dxa" w:w="6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CR1</w:t>
            </w:r>
          </w:p>
        </w:tc>
        <w:tc>
          <w:tcPr>
            <w:tcW w:type="dxa" w:w="26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Retail customer registration</w:t>
            </w:r>
          </w:p>
        </w:tc>
        <w:tc>
          <w:tcPr>
            <w:tcW w:type="dxa" w:w="45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Create a customer with minimal PII, generate a canonical CustomerId, emit registered event</w:t>
            </w:r>
          </w:p>
        </w:tc>
        <w:tc>
          <w:tcPr>
            <w:tcW w:type="dxa" w:w="12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Must</w:t>
            </w:r>
          </w:p>
        </w:tc>
      </w:tr>
      <w:tr>
        <w:tc>
          <w:tcPr>
            <w:tcW w:type="dxa" w:w="6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CR2</w:t>
            </w:r>
          </w:p>
        </w:tc>
        <w:tc>
          <w:tcPr>
            <w:tcW w:type="dxa" w:w="26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Business (KYB) registration</w:t>
            </w:r>
          </w:p>
        </w:tc>
        <w:tc>
          <w:tcPr>
            <w:tcW w:type="dxa" w:w="45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Create a business entity, capture registration number + jurisdiction</w:t>
            </w:r>
          </w:p>
        </w:tc>
        <w:tc>
          <w:tcPr>
            <w:tcW w:type="dxa" w:w="12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Must</w:t>
            </w:r>
          </w:p>
        </w:tc>
      </w:tr>
      <w:tr>
        <w:tc>
          <w:tcPr>
            <w:tcW w:type="dxa" w:w="6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CR3</w:t>
            </w:r>
          </w:p>
        </w:tc>
        <w:tc>
          <w:tcPr>
            <w:tcW w:type="dxa" w:w="26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UBO capture &amp; ownership check</w:t>
            </w:r>
          </w:p>
        </w:tc>
        <w:tc>
          <w:tcPr>
            <w:tcW w:type="dxa" w:w="45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Record beneficial owners; validate ownership % against the pack's disclosure threshold</w:t>
            </w:r>
          </w:p>
        </w:tc>
        <w:tc>
          <w:tcPr>
            <w:tcW w:type="dxa" w:w="12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Must</w:t>
            </w:r>
          </w:p>
        </w:tc>
      </w:tr>
      <w:tr>
        <w:tc>
          <w:tcPr>
            <w:tcW w:type="dxa" w:w="6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CR4</w:t>
            </w:r>
          </w:p>
        </w:tc>
        <w:tc>
          <w:tcPr>
            <w:tcW w:type="dxa" w:w="26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Customer profile update &amp; history</w:t>
            </w:r>
          </w:p>
        </w:tc>
        <w:tc>
          <w:tcPr>
            <w:tcW w:type="dxa" w:w="45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Edit profile with an append-only change history (who/what/when)</w:t>
            </w:r>
          </w:p>
        </w:tc>
        <w:tc>
          <w:tcPr>
            <w:tcW w:type="dxa" w:w="12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Must</w:t>
            </w:r>
          </w:p>
        </w:tc>
      </w:tr>
      <w:tr>
        <w:tc>
          <w:tcPr>
            <w:tcW w:type="dxa" w:w="6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CR5</w:t>
            </w:r>
          </w:p>
        </w:tc>
        <w:tc>
          <w:tcPr>
            <w:tcW w:type="dxa" w:w="26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Customer close / dormancy</w:t>
            </w:r>
          </w:p>
        </w:tc>
        <w:tc>
          <w:tcPr>
            <w:tcW w:type="dxa" w:w="45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Terminal close and dormancy transitions with guards</w:t>
            </w:r>
          </w:p>
        </w:tc>
        <w:tc>
          <w:tcPr>
            <w:tcW w:type="dxa" w:w="12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Should</w:t>
            </w:r>
          </w:p>
        </w:tc>
      </w:tr>
      <w:tr>
        <w:tc>
          <w:tcPr>
            <w:tcW w:type="dxa" w:w="6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CR6</w:t>
            </w:r>
          </w:p>
        </w:tc>
        <w:tc>
          <w:tcPr>
            <w:tcW w:type="dxa" w:w="26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Household / relationship linking</w:t>
            </w:r>
          </w:p>
        </w:tc>
        <w:tc>
          <w:tcPr>
            <w:tcW w:type="dxa" w:w="45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Link related customers (e.g. joint, guardian)</w:t>
            </w:r>
          </w:p>
        </w:tc>
        <w:tc>
          <w:tcPr>
            <w:tcW w:type="dxa" w:w="12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Could</w:t>
            </w:r>
          </w:p>
        </w:tc>
      </w:tr>
    </w:tbl>
    <w:p>
      <w:pPr>
        <w:pStyle w:val="Heading2"/>
        <w:spacing w:after="160" w:before="260"/>
      </w:pPr>
      <w:r>
        <w:rPr>
          <w:rFonts w:ascii="Calibri" w:cs="Calibri" w:eastAsia="Calibri" w:hAnsi="Calibri"/>
          <w:b/>
          <w:bCs/>
          <w:color w:val="0A7E79"/>
          <w:sz w:val="25"/>
          <w:szCs w:val="25"/>
        </w:rPr>
        <w:t xml:space="preserve">3.2 Verification</w:t>
      </w:r>
    </w:p>
    <w:tbl>
      <w:tblPr>
        <w:tblW w:type="dxa" w:w="9000"/>
        <w:tblBorders>
          <w:top w:val="single" w:color="D8E2E8" w:sz="4"/>
          <w:left w:val="single" w:color="D8E2E8" w:sz="4"/>
          <w:bottom w:val="single" w:color="D8E2E8" w:sz="4"/>
          <w:right w:val="single" w:color="D8E2E8" w:sz="4"/>
          <w:insideH w:val="single" w:color="D8E2E8" w:sz="4"/>
          <w:insideV w:val="single" w:color="D8E2E8" w:sz="4"/>
        </w:tblBorders>
      </w:tblPr>
      <w:tblGrid>
        <w:gridCol w:w="650"/>
        <w:gridCol w:w="2600"/>
        <w:gridCol w:w="4550"/>
        <w:gridCol w:w="1200"/>
      </w:tblGrid>
      <w:tr>
        <w:trPr>
          <w:tblHeader/>
        </w:trPr>
        <w:tc>
          <w:tcPr>
            <w:tcW w:type="dxa" w:w="650"/>
            <w:shd w:fill="0B1F3A" w:val="clear"/>
            <w:tcMar>
              <w:top w:type="dxa" w:w="90"/>
              <w:left w:type="dxa" w:w="130"/>
              <w:bottom w:type="dxa" w:w="90"/>
              <w:right w:type="dxa" w:w="130"/>
            </w:tcMar>
          </w:tcPr>
          <w:p>
            <w:pPr>
              <w:spacing w:after="0" w:line="260"/>
            </w:pPr>
            <w:r>
              <w:rPr>
                <w:rFonts w:ascii="Calibri" w:cs="Calibri" w:eastAsia="Calibri" w:hAnsi="Calibri"/>
                <w:b/>
                <w:bCs/>
                <w:color w:val="FFFFFF"/>
                <w:sz w:val="20"/>
                <w:szCs w:val="20"/>
              </w:rPr>
              <w:t xml:space="preserve">#</w:t>
            </w:r>
          </w:p>
        </w:tc>
        <w:tc>
          <w:tcPr>
            <w:tcW w:type="dxa" w:w="2600"/>
            <w:shd w:fill="0B1F3A" w:val="clear"/>
            <w:tcMar>
              <w:top w:type="dxa" w:w="90"/>
              <w:left w:type="dxa" w:w="130"/>
              <w:bottom w:type="dxa" w:w="90"/>
              <w:right w:type="dxa" w:w="130"/>
            </w:tcMar>
          </w:tcPr>
          <w:p>
            <w:pPr>
              <w:spacing w:after="0" w:line="260"/>
            </w:pPr>
            <w:r>
              <w:rPr>
                <w:rFonts w:ascii="Calibri" w:cs="Calibri" w:eastAsia="Calibri" w:hAnsi="Calibri"/>
                <w:b/>
                <w:bCs/>
                <w:color w:val="FFFFFF"/>
                <w:sz w:val="20"/>
                <w:szCs w:val="20"/>
              </w:rPr>
              <w:t xml:space="preserve">Feature</w:t>
            </w:r>
          </w:p>
        </w:tc>
        <w:tc>
          <w:tcPr>
            <w:tcW w:type="dxa" w:w="4550"/>
            <w:shd w:fill="0B1F3A" w:val="clear"/>
            <w:tcMar>
              <w:top w:type="dxa" w:w="90"/>
              <w:left w:type="dxa" w:w="130"/>
              <w:bottom w:type="dxa" w:w="90"/>
              <w:right w:type="dxa" w:w="130"/>
            </w:tcMar>
          </w:tcPr>
          <w:p>
            <w:pPr>
              <w:spacing w:after="0" w:line="260"/>
            </w:pPr>
            <w:r>
              <w:rPr>
                <w:rFonts w:ascii="Calibri" w:cs="Calibri" w:eastAsia="Calibri" w:hAnsi="Calibri"/>
                <w:b/>
                <w:bCs/>
                <w:color w:val="FFFFFF"/>
                <w:sz w:val="20"/>
                <w:szCs w:val="20"/>
              </w:rPr>
              <w:t xml:space="preserve">What it does</w:t>
            </w:r>
          </w:p>
        </w:tc>
        <w:tc>
          <w:tcPr>
            <w:tcW w:type="dxa" w:w="1200"/>
            <w:shd w:fill="0B1F3A" w:val="clear"/>
            <w:tcMar>
              <w:top w:type="dxa" w:w="90"/>
              <w:left w:type="dxa" w:w="130"/>
              <w:bottom w:type="dxa" w:w="90"/>
              <w:right w:type="dxa" w:w="130"/>
            </w:tcMar>
          </w:tcPr>
          <w:p>
            <w:pPr>
              <w:spacing w:after="0" w:line="260"/>
            </w:pPr>
            <w:r>
              <w:rPr>
                <w:rFonts w:ascii="Calibri" w:cs="Calibri" w:eastAsia="Calibri" w:hAnsi="Calibri"/>
                <w:b/>
                <w:bCs/>
                <w:color w:val="FFFFFF"/>
                <w:sz w:val="20"/>
                <w:szCs w:val="20"/>
              </w:rPr>
              <w:t xml:space="preserve">Priority</w:t>
            </w:r>
          </w:p>
        </w:tc>
      </w:tr>
      <w:tr>
        <w:tc>
          <w:tcPr>
            <w:tcW w:type="dxa" w:w="6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VF1</w:t>
            </w:r>
          </w:p>
        </w:tc>
        <w:tc>
          <w:tcPr>
            <w:tcW w:type="dxa" w:w="26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Document verification journey</w:t>
            </w:r>
          </w:p>
        </w:tc>
        <w:tc>
          <w:tcPr>
            <w:tcW w:type="dxa" w:w="45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Start/track a document-verification case via the eKYC adapter</w:t>
            </w:r>
          </w:p>
        </w:tc>
        <w:tc>
          <w:tcPr>
            <w:tcW w:type="dxa" w:w="12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Must</w:t>
            </w:r>
          </w:p>
        </w:tc>
      </w:tr>
      <w:tr>
        <w:tc>
          <w:tcPr>
            <w:tcW w:type="dxa" w:w="6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VF2</w:t>
            </w:r>
          </w:p>
        </w:tc>
        <w:tc>
          <w:tcPr>
            <w:tcW w:type="dxa" w:w="26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Liveness / biometric check</w:t>
            </w:r>
          </w:p>
        </w:tc>
        <w:tc>
          <w:tcPr>
            <w:tcW w:type="dxa" w:w="45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Start/track a liveness case; anti-spoofing outcome recorded</w:t>
            </w:r>
          </w:p>
        </w:tc>
        <w:tc>
          <w:tcPr>
            <w:tcW w:type="dxa" w:w="12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Must</w:t>
            </w:r>
          </w:p>
        </w:tc>
      </w:tr>
      <w:tr>
        <w:tc>
          <w:tcPr>
            <w:tcW w:type="dxa" w:w="6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VF3</w:t>
            </w:r>
          </w:p>
        </w:tc>
        <w:tc>
          <w:tcPr>
            <w:tcW w:type="dxa" w:w="26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National-ID lookup</w:t>
            </w:r>
          </w:p>
        </w:tc>
        <w:tc>
          <w:tcPr>
            <w:tcW w:type="dxa" w:w="45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CNIC (PK) / Emirates ID (AE) / Iqama (SA) registry match via the adapter</w:t>
            </w:r>
          </w:p>
        </w:tc>
        <w:tc>
          <w:tcPr>
            <w:tcW w:type="dxa" w:w="12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Must</w:t>
            </w:r>
          </w:p>
        </w:tc>
      </w:tr>
      <w:tr>
        <w:tc>
          <w:tcPr>
            <w:tcW w:type="dxa" w:w="6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VF4</w:t>
            </w:r>
          </w:p>
        </w:tc>
        <w:tc>
          <w:tcPr>
            <w:tcW w:type="dxa" w:w="26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Business-registry (KYB) lookup</w:t>
            </w:r>
          </w:p>
        </w:tc>
        <w:tc>
          <w:tcPr>
            <w:tcW w:type="dxa" w:w="45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Company registry verification for businesses</w:t>
            </w:r>
          </w:p>
        </w:tc>
        <w:tc>
          <w:tcPr>
            <w:tcW w:type="dxa" w:w="12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Should</w:t>
            </w:r>
          </w:p>
        </w:tc>
      </w:tr>
      <w:tr>
        <w:tc>
          <w:tcPr>
            <w:tcW w:type="dxa" w:w="6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VF5</w:t>
            </w:r>
          </w:p>
        </w:tc>
        <w:tc>
          <w:tcPr>
            <w:tcW w:type="dxa" w:w="26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Manual review queue</w:t>
            </w:r>
          </w:p>
        </w:tc>
        <w:tc>
          <w:tcPr>
            <w:tcW w:type="dxa" w:w="45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Route timeouts/ambiguous outcomes to a human queue; never auto-approve on failure</w:t>
            </w:r>
          </w:p>
        </w:tc>
        <w:tc>
          <w:tcPr>
            <w:tcW w:type="dxa" w:w="12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Must</w:t>
            </w:r>
          </w:p>
        </w:tc>
      </w:tr>
      <w:tr>
        <w:tc>
          <w:tcPr>
            <w:tcW w:type="dxa" w:w="6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VF6</w:t>
            </w:r>
          </w:p>
        </w:tc>
        <w:tc>
          <w:tcPr>
            <w:tcW w:type="dxa" w:w="26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Re-verification scheduling</w:t>
            </w:r>
          </w:p>
        </w:tc>
        <w:tc>
          <w:tcPr>
            <w:tcW w:type="dxa" w:w="45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Schedule periodic KYC refresh by risk tier</w:t>
            </w:r>
          </w:p>
        </w:tc>
        <w:tc>
          <w:tcPr>
            <w:tcW w:type="dxa" w:w="12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Should</w:t>
            </w:r>
          </w:p>
        </w:tc>
      </w:tr>
    </w:tbl>
    <w:p>
      <w:pPr>
        <w:pStyle w:val="Heading2"/>
        <w:spacing w:after="160" w:before="260"/>
      </w:pPr>
      <w:r>
        <w:rPr>
          <w:rFonts w:ascii="Calibri" w:cs="Calibri" w:eastAsia="Calibri" w:hAnsi="Calibri"/>
          <w:b/>
          <w:bCs/>
          <w:color w:val="0A7E79"/>
          <w:sz w:val="25"/>
          <w:szCs w:val="25"/>
        </w:rPr>
        <w:t xml:space="preserve">3.3 Risk tiering</w:t>
      </w:r>
    </w:p>
    <w:tbl>
      <w:tblPr>
        <w:tblW w:type="dxa" w:w="9000"/>
        <w:tblBorders>
          <w:top w:val="single" w:color="D8E2E8" w:sz="4"/>
          <w:left w:val="single" w:color="D8E2E8" w:sz="4"/>
          <w:bottom w:val="single" w:color="D8E2E8" w:sz="4"/>
          <w:right w:val="single" w:color="D8E2E8" w:sz="4"/>
          <w:insideH w:val="single" w:color="D8E2E8" w:sz="4"/>
          <w:insideV w:val="single" w:color="D8E2E8" w:sz="4"/>
        </w:tblBorders>
      </w:tblPr>
      <w:tblGrid>
        <w:gridCol w:w="650"/>
        <w:gridCol w:w="2600"/>
        <w:gridCol w:w="4550"/>
        <w:gridCol w:w="1200"/>
      </w:tblGrid>
      <w:tr>
        <w:trPr>
          <w:tblHeader/>
        </w:trPr>
        <w:tc>
          <w:tcPr>
            <w:tcW w:type="dxa" w:w="650"/>
            <w:shd w:fill="0B1F3A" w:val="clear"/>
            <w:tcMar>
              <w:top w:type="dxa" w:w="90"/>
              <w:left w:type="dxa" w:w="130"/>
              <w:bottom w:type="dxa" w:w="90"/>
              <w:right w:type="dxa" w:w="130"/>
            </w:tcMar>
          </w:tcPr>
          <w:p>
            <w:pPr>
              <w:spacing w:after="0" w:line="260"/>
            </w:pPr>
            <w:r>
              <w:rPr>
                <w:rFonts w:ascii="Calibri" w:cs="Calibri" w:eastAsia="Calibri" w:hAnsi="Calibri"/>
                <w:b/>
                <w:bCs/>
                <w:color w:val="FFFFFF"/>
                <w:sz w:val="20"/>
                <w:szCs w:val="20"/>
              </w:rPr>
              <w:t xml:space="preserve">#</w:t>
            </w:r>
          </w:p>
        </w:tc>
        <w:tc>
          <w:tcPr>
            <w:tcW w:type="dxa" w:w="2600"/>
            <w:shd w:fill="0B1F3A" w:val="clear"/>
            <w:tcMar>
              <w:top w:type="dxa" w:w="90"/>
              <w:left w:type="dxa" w:w="130"/>
              <w:bottom w:type="dxa" w:w="90"/>
              <w:right w:type="dxa" w:w="130"/>
            </w:tcMar>
          </w:tcPr>
          <w:p>
            <w:pPr>
              <w:spacing w:after="0" w:line="260"/>
            </w:pPr>
            <w:r>
              <w:rPr>
                <w:rFonts w:ascii="Calibri" w:cs="Calibri" w:eastAsia="Calibri" w:hAnsi="Calibri"/>
                <w:b/>
                <w:bCs/>
                <w:color w:val="FFFFFF"/>
                <w:sz w:val="20"/>
                <w:szCs w:val="20"/>
              </w:rPr>
              <w:t xml:space="preserve">Feature</w:t>
            </w:r>
          </w:p>
        </w:tc>
        <w:tc>
          <w:tcPr>
            <w:tcW w:type="dxa" w:w="4550"/>
            <w:shd w:fill="0B1F3A" w:val="clear"/>
            <w:tcMar>
              <w:top w:type="dxa" w:w="90"/>
              <w:left w:type="dxa" w:w="130"/>
              <w:bottom w:type="dxa" w:w="90"/>
              <w:right w:type="dxa" w:w="130"/>
            </w:tcMar>
          </w:tcPr>
          <w:p>
            <w:pPr>
              <w:spacing w:after="0" w:line="260"/>
            </w:pPr>
            <w:r>
              <w:rPr>
                <w:rFonts w:ascii="Calibri" w:cs="Calibri" w:eastAsia="Calibri" w:hAnsi="Calibri"/>
                <w:b/>
                <w:bCs/>
                <w:color w:val="FFFFFF"/>
                <w:sz w:val="20"/>
                <w:szCs w:val="20"/>
              </w:rPr>
              <w:t xml:space="preserve">What it does</w:t>
            </w:r>
          </w:p>
        </w:tc>
        <w:tc>
          <w:tcPr>
            <w:tcW w:type="dxa" w:w="1200"/>
            <w:shd w:fill="0B1F3A" w:val="clear"/>
            <w:tcMar>
              <w:top w:type="dxa" w:w="90"/>
              <w:left w:type="dxa" w:w="130"/>
              <w:bottom w:type="dxa" w:w="90"/>
              <w:right w:type="dxa" w:w="130"/>
            </w:tcMar>
          </w:tcPr>
          <w:p>
            <w:pPr>
              <w:spacing w:after="0" w:line="260"/>
            </w:pPr>
            <w:r>
              <w:rPr>
                <w:rFonts w:ascii="Calibri" w:cs="Calibri" w:eastAsia="Calibri" w:hAnsi="Calibri"/>
                <w:b/>
                <w:bCs/>
                <w:color w:val="FFFFFF"/>
                <w:sz w:val="20"/>
                <w:szCs w:val="20"/>
              </w:rPr>
              <w:t xml:space="preserve">Priority</w:t>
            </w:r>
          </w:p>
        </w:tc>
      </w:tr>
      <w:tr>
        <w:tc>
          <w:tcPr>
            <w:tcW w:type="dxa" w:w="6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RT1</w:t>
            </w:r>
          </w:p>
        </w:tc>
        <w:tc>
          <w:tcPr>
            <w:tcW w:type="dxa" w:w="26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Risk-tier computation</w:t>
            </w:r>
          </w:p>
        </w:tc>
        <w:tc>
          <w:tcPr>
            <w:tcW w:type="dxa" w:w="45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Deterministic tier from verification + screening + geography + product</w:t>
            </w:r>
          </w:p>
        </w:tc>
        <w:tc>
          <w:tcPr>
            <w:tcW w:type="dxa" w:w="12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Must</w:t>
            </w:r>
          </w:p>
        </w:tc>
      </w:tr>
      <w:tr>
        <w:tc>
          <w:tcPr>
            <w:tcW w:type="dxa" w:w="6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RT2</w:t>
            </w:r>
          </w:p>
        </w:tc>
        <w:tc>
          <w:tcPr>
            <w:tcW w:type="dxa" w:w="26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Tier recomputation on new signals</w:t>
            </w:r>
          </w:p>
        </w:tc>
        <w:tc>
          <w:tcPr>
            <w:tcW w:type="dxa" w:w="45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Recompute when screening resolves or profile changes; emit tier-changed</w:t>
            </w:r>
          </w:p>
        </w:tc>
        <w:tc>
          <w:tcPr>
            <w:tcW w:type="dxa" w:w="12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Must</w:t>
            </w:r>
          </w:p>
        </w:tc>
      </w:tr>
      <w:tr>
        <w:tc>
          <w:tcPr>
            <w:tcW w:type="dxa" w:w="6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RT3</w:t>
            </w:r>
          </w:p>
        </w:tc>
        <w:tc>
          <w:tcPr>
            <w:tcW w:type="dxa" w:w="26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Tier override with reason (maker-checker)</w:t>
            </w:r>
          </w:p>
        </w:tc>
        <w:tc>
          <w:tcPr>
            <w:tcW w:type="dxa" w:w="45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Compliance can override a tier with recorded justification</w:t>
            </w:r>
          </w:p>
        </w:tc>
        <w:tc>
          <w:tcPr>
            <w:tcW w:type="dxa" w:w="12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Should</w:t>
            </w:r>
          </w:p>
        </w:tc>
      </w:tr>
      <w:tr>
        <w:tc>
          <w:tcPr>
            <w:tcW w:type="dxa" w:w="6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RT4</w:t>
            </w:r>
          </w:p>
        </w:tc>
        <w:tc>
          <w:tcPr>
            <w:tcW w:type="dxa" w:w="26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Configurable tier model per pack</w:t>
            </w:r>
          </w:p>
        </w:tc>
        <w:tc>
          <w:tcPr>
            <w:tcW w:type="dxa" w:w="45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Tier thresholds come from the compliance pack, not code</w:t>
            </w:r>
          </w:p>
        </w:tc>
        <w:tc>
          <w:tcPr>
            <w:tcW w:type="dxa" w:w="12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Must</w:t>
            </w:r>
          </w:p>
        </w:tc>
      </w:tr>
    </w:tbl>
    <w:p>
      <w:pPr>
        <w:pStyle w:val="Heading2"/>
        <w:spacing w:after="160" w:before="260"/>
      </w:pPr>
      <w:r>
        <w:rPr>
          <w:rFonts w:ascii="Calibri" w:cs="Calibri" w:eastAsia="Calibri" w:hAnsi="Calibri"/>
          <w:b/>
          <w:bCs/>
          <w:color w:val="0A7E79"/>
          <w:sz w:val="25"/>
          <w:szCs w:val="25"/>
        </w:rPr>
        <w:t xml:space="preserve">3.4 Onboarding orchestration</w:t>
      </w:r>
    </w:p>
    <w:tbl>
      <w:tblPr>
        <w:tblW w:type="dxa" w:w="9000"/>
        <w:tblBorders>
          <w:top w:val="single" w:color="D8E2E8" w:sz="4"/>
          <w:left w:val="single" w:color="D8E2E8" w:sz="4"/>
          <w:bottom w:val="single" w:color="D8E2E8" w:sz="4"/>
          <w:right w:val="single" w:color="D8E2E8" w:sz="4"/>
          <w:insideH w:val="single" w:color="D8E2E8" w:sz="4"/>
          <w:insideV w:val="single" w:color="D8E2E8" w:sz="4"/>
        </w:tblBorders>
      </w:tblPr>
      <w:tblGrid>
        <w:gridCol w:w="650"/>
        <w:gridCol w:w="2600"/>
        <w:gridCol w:w="4550"/>
        <w:gridCol w:w="1200"/>
      </w:tblGrid>
      <w:tr>
        <w:trPr>
          <w:tblHeader/>
        </w:trPr>
        <w:tc>
          <w:tcPr>
            <w:tcW w:type="dxa" w:w="650"/>
            <w:shd w:fill="0B1F3A" w:val="clear"/>
            <w:tcMar>
              <w:top w:type="dxa" w:w="90"/>
              <w:left w:type="dxa" w:w="130"/>
              <w:bottom w:type="dxa" w:w="90"/>
              <w:right w:type="dxa" w:w="130"/>
            </w:tcMar>
          </w:tcPr>
          <w:p>
            <w:pPr>
              <w:spacing w:after="0" w:line="260"/>
            </w:pPr>
            <w:r>
              <w:rPr>
                <w:rFonts w:ascii="Calibri" w:cs="Calibri" w:eastAsia="Calibri" w:hAnsi="Calibri"/>
                <w:b/>
                <w:bCs/>
                <w:color w:val="FFFFFF"/>
                <w:sz w:val="20"/>
                <w:szCs w:val="20"/>
              </w:rPr>
              <w:t xml:space="preserve">#</w:t>
            </w:r>
          </w:p>
        </w:tc>
        <w:tc>
          <w:tcPr>
            <w:tcW w:type="dxa" w:w="2600"/>
            <w:shd w:fill="0B1F3A" w:val="clear"/>
            <w:tcMar>
              <w:top w:type="dxa" w:w="90"/>
              <w:left w:type="dxa" w:w="130"/>
              <w:bottom w:type="dxa" w:w="90"/>
              <w:right w:type="dxa" w:w="130"/>
            </w:tcMar>
          </w:tcPr>
          <w:p>
            <w:pPr>
              <w:spacing w:after="0" w:line="260"/>
            </w:pPr>
            <w:r>
              <w:rPr>
                <w:rFonts w:ascii="Calibri" w:cs="Calibri" w:eastAsia="Calibri" w:hAnsi="Calibri"/>
                <w:b/>
                <w:bCs/>
                <w:color w:val="FFFFFF"/>
                <w:sz w:val="20"/>
                <w:szCs w:val="20"/>
              </w:rPr>
              <w:t xml:space="preserve">Feature</w:t>
            </w:r>
          </w:p>
        </w:tc>
        <w:tc>
          <w:tcPr>
            <w:tcW w:type="dxa" w:w="4550"/>
            <w:shd w:fill="0B1F3A" w:val="clear"/>
            <w:tcMar>
              <w:top w:type="dxa" w:w="90"/>
              <w:left w:type="dxa" w:w="130"/>
              <w:bottom w:type="dxa" w:w="90"/>
              <w:right w:type="dxa" w:w="130"/>
            </w:tcMar>
          </w:tcPr>
          <w:p>
            <w:pPr>
              <w:spacing w:after="0" w:line="260"/>
            </w:pPr>
            <w:r>
              <w:rPr>
                <w:rFonts w:ascii="Calibri" w:cs="Calibri" w:eastAsia="Calibri" w:hAnsi="Calibri"/>
                <w:b/>
                <w:bCs/>
                <w:color w:val="FFFFFF"/>
                <w:sz w:val="20"/>
                <w:szCs w:val="20"/>
              </w:rPr>
              <w:t xml:space="preserve">What it does</w:t>
            </w:r>
          </w:p>
        </w:tc>
        <w:tc>
          <w:tcPr>
            <w:tcW w:type="dxa" w:w="1200"/>
            <w:shd w:fill="0B1F3A" w:val="clear"/>
            <w:tcMar>
              <w:top w:type="dxa" w:w="90"/>
              <w:left w:type="dxa" w:w="130"/>
              <w:bottom w:type="dxa" w:w="90"/>
              <w:right w:type="dxa" w:w="130"/>
            </w:tcMar>
          </w:tcPr>
          <w:p>
            <w:pPr>
              <w:spacing w:after="0" w:line="260"/>
            </w:pPr>
            <w:r>
              <w:rPr>
                <w:rFonts w:ascii="Calibri" w:cs="Calibri" w:eastAsia="Calibri" w:hAnsi="Calibri"/>
                <w:b/>
                <w:bCs/>
                <w:color w:val="FFFFFF"/>
                <w:sz w:val="20"/>
                <w:szCs w:val="20"/>
              </w:rPr>
              <w:t xml:space="preserve">Priority</w:t>
            </w:r>
          </w:p>
        </w:tc>
      </w:tr>
      <w:tr>
        <w:tc>
          <w:tcPr>
            <w:tcW w:type="dxa" w:w="6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OB1</w:t>
            </w:r>
          </w:p>
        </w:tc>
        <w:tc>
          <w:tcPr>
            <w:tcW w:type="dxa" w:w="26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Pack-driven onboarding workflow</w:t>
            </w:r>
          </w:p>
        </w:tc>
        <w:tc>
          <w:tcPr>
            <w:tcW w:type="dxa" w:w="45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Sequence the required steps per tenant/product from the compliance pack</w:t>
            </w:r>
          </w:p>
        </w:tc>
        <w:tc>
          <w:tcPr>
            <w:tcW w:type="dxa" w:w="12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Must</w:t>
            </w:r>
          </w:p>
        </w:tc>
      </w:tr>
      <w:tr>
        <w:tc>
          <w:tcPr>
            <w:tcW w:type="dxa" w:w="6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OB2</w:t>
            </w:r>
          </w:p>
        </w:tc>
        <w:tc>
          <w:tcPr>
            <w:tcW w:type="dxa" w:w="26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Onboarding status &amp; SLA tracking</w:t>
            </w:r>
          </w:p>
        </w:tc>
        <w:tc>
          <w:tcPr>
            <w:tcW w:type="dxa" w:w="45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Expose journey state and per-tier SLA (Enterprise 15–20d … Starter &lt;1d)</w:t>
            </w:r>
          </w:p>
        </w:tc>
        <w:tc>
          <w:tcPr>
            <w:tcW w:type="dxa" w:w="12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Must</w:t>
            </w:r>
          </w:p>
        </w:tc>
      </w:tr>
      <w:tr>
        <w:tc>
          <w:tcPr>
            <w:tcW w:type="dxa" w:w="6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OB3</w:t>
            </w:r>
          </w:p>
        </w:tc>
        <w:tc>
          <w:tcPr>
            <w:tcW w:type="dxa" w:w="26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Resumable / save-and-continue journeys</w:t>
            </w:r>
          </w:p>
        </w:tc>
        <w:tc>
          <w:tcPr>
            <w:tcW w:type="dxa" w:w="45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Let an applicant resume a partially complete journey</w:t>
            </w:r>
          </w:p>
        </w:tc>
        <w:tc>
          <w:tcPr>
            <w:tcW w:type="dxa" w:w="12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Should</w:t>
            </w:r>
          </w:p>
        </w:tc>
      </w:tr>
      <w:tr>
        <w:tc>
          <w:tcPr>
            <w:tcW w:type="dxa" w:w="6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OB4</w:t>
            </w:r>
          </w:p>
        </w:tc>
        <w:tc>
          <w:tcPr>
            <w:tcW w:type="dxa" w:w="26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Takaful participant onboarding profile</w:t>
            </w:r>
          </w:p>
        </w:tc>
        <w:tc>
          <w:tcPr>
            <w:tcW w:type="dxa" w:w="45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Onboarding variant for takaful participants (reuses all of the above)</w:t>
            </w:r>
          </w:p>
        </w:tc>
        <w:tc>
          <w:tcPr>
            <w:tcW w:type="dxa" w:w="12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Should</w:t>
            </w:r>
          </w:p>
        </w:tc>
      </w:tr>
      <w:tr>
        <w:tc>
          <w:tcPr>
            <w:tcW w:type="dxa" w:w="6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OB5</w:t>
            </w:r>
          </w:p>
        </w:tc>
        <w:tc>
          <w:tcPr>
            <w:tcW w:type="dxa" w:w="26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Bulk / assisted onboarding (agent)</w:t>
            </w:r>
          </w:p>
        </w:tc>
        <w:tc>
          <w:tcPr>
            <w:tcW w:type="dxa" w:w="45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Agent-assisted or bulk import onboarding</w:t>
            </w:r>
          </w:p>
        </w:tc>
        <w:tc>
          <w:tcPr>
            <w:tcW w:type="dxa" w:w="12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Could</w:t>
            </w:r>
          </w:p>
        </w:tc>
      </w:tr>
    </w:tbl>
    <w:p>
      <w:pPr>
        <w:pStyle w:val="Heading1"/>
        <w:spacing w:after="200" w:before="340"/>
      </w:pPr>
      <w:r>
        <w:rPr>
          <w:rFonts w:ascii="Calibri" w:cs="Calibri" w:eastAsia="Calibri" w:hAnsi="Calibri"/>
          <w:b/>
          <w:bCs/>
          <w:color w:val="0B1F3A"/>
          <w:sz w:val="30"/>
          <w:szCs w:val="30"/>
        </w:rPr>
        <w:t xml:space="preserve">4. Functional Requirements</w:t>
      </w:r>
    </w:p>
    <w:p>
      <w:pPr>
        <w:pStyle w:val="ListParagraph"/>
        <w:numPr>
          <w:ilvl w:val="0"/>
          <w:numId w:val="2"/>
        </w:numPr>
        <w:spacing w:after="120" w:line="290"/>
      </w:pPr>
      <w:r>
        <w:rPr>
          <w:rFonts w:ascii="Calibri" w:cs="Calibri" w:eastAsia="Calibri" w:hAnsi="Calibri"/>
          <w:color w:val="1E2A38"/>
          <w:sz w:val="22"/>
          <w:szCs w:val="22"/>
        </w:rPr>
        <w:t xml:space="preserve">Every customer and business is uniquely and immutably identified; identity keys are the national IDs per market, never free-text names.</w:t>
      </w:r>
    </w:p>
    <w:p>
      <w:pPr>
        <w:pStyle w:val="ListParagraph"/>
        <w:numPr>
          <w:ilvl w:val="0"/>
          <w:numId w:val="2"/>
        </w:numPr>
        <w:spacing w:after="120" w:line="290"/>
      </w:pPr>
      <w:r>
        <w:rPr>
          <w:rFonts w:ascii="Calibri" w:cs="Calibri" w:eastAsia="Calibri" w:hAnsi="Calibri"/>
          <w:color w:val="1E2A38"/>
          <w:sz w:val="22"/>
          <w:szCs w:val="22"/>
        </w:rPr>
        <w:t xml:space="preserve">A verification-case timeout or provider error moves the case to MANUAL_REVIEW; the service never auto-approves on failure (fail-safe).</w:t>
      </w:r>
    </w:p>
    <w:p>
      <w:pPr>
        <w:pStyle w:val="ListParagraph"/>
        <w:numPr>
          <w:ilvl w:val="0"/>
          <w:numId w:val="2"/>
        </w:numPr>
        <w:spacing w:after="120" w:line="290"/>
      </w:pPr>
      <w:r>
        <w:rPr>
          <w:rFonts w:ascii="Calibri" w:cs="Calibri" w:eastAsia="Calibri" w:hAnsi="Calibri"/>
          <w:color w:val="1E2A38"/>
          <w:sz w:val="22"/>
          <w:szCs w:val="22"/>
        </w:rPr>
        <w:t xml:space="preserve">Verification evidence (images, biometrics) is stored only as an object-storage reference; PII blobs never sit inline in the service database.</w:t>
      </w:r>
    </w:p>
    <w:p>
      <w:pPr>
        <w:pStyle w:val="ListParagraph"/>
        <w:numPr>
          <w:ilvl w:val="0"/>
          <w:numId w:val="2"/>
        </w:numPr>
        <w:spacing w:after="120" w:line="290"/>
      </w:pPr>
      <w:r>
        <w:rPr>
          <w:rFonts w:ascii="Calibri" w:cs="Calibri" w:eastAsia="Calibri" w:hAnsi="Calibri"/>
          <w:color w:val="1E2A38"/>
          <w:sz w:val="22"/>
          <w:szCs w:val="22"/>
        </w:rPr>
        <w:t xml:space="preserve">Risk tier is recomputed deterministically whenever an input changes; the same inputs always yield the same tier.</w:t>
      </w:r>
    </w:p>
    <w:p>
      <w:pPr>
        <w:pStyle w:val="ListParagraph"/>
        <w:numPr>
          <w:ilvl w:val="0"/>
          <w:numId w:val="2"/>
        </w:numPr>
        <w:spacing w:after="120" w:line="290"/>
      </w:pPr>
      <w:r>
        <w:rPr>
          <w:rFonts w:ascii="Calibri" w:cs="Calibri" w:eastAsia="Calibri" w:hAnsi="Calibri"/>
          <w:color w:val="1E2A38"/>
          <w:sz w:val="22"/>
          <w:szCs w:val="22"/>
        </w:rPr>
        <w:t xml:space="preserve">All required checks and thresholds are read from the assigned compliance pack at run time; there is no hard-coded per-tenant rule.</w:t>
      </w:r>
    </w:p>
    <w:p>
      <w:pPr>
        <w:pStyle w:val="ListParagraph"/>
        <w:numPr>
          <w:ilvl w:val="0"/>
          <w:numId w:val="2"/>
        </w:numPr>
        <w:spacing w:after="120" w:line="290"/>
      </w:pPr>
      <w:r>
        <w:rPr>
          <w:rFonts w:ascii="Calibri" w:cs="Calibri" w:eastAsia="Calibri" w:hAnsi="Calibri"/>
          <w:color w:val="1E2A38"/>
          <w:sz w:val="22"/>
          <w:szCs w:val="22"/>
        </w:rPr>
        <w:t xml:space="preserve">Every mutation is idempotent (Idempotency-Key) and every state change is appended to history.</w:t>
      </w:r>
    </w:p>
    <w:p>
      <w:pPr>
        <w:pStyle w:val="Heading1"/>
        <w:spacing w:after="200" w:before="340"/>
      </w:pPr>
      <w:r>
        <w:rPr>
          <w:rFonts w:ascii="Calibri" w:cs="Calibri" w:eastAsia="Calibri" w:hAnsi="Calibri"/>
          <w:b/>
          <w:bCs/>
          <w:color w:val="0B1F3A"/>
          <w:sz w:val="30"/>
          <w:szCs w:val="30"/>
        </w:rPr>
        <w:t xml:space="preserve">5. Non-Functional Requirements</w:t>
      </w:r>
    </w:p>
    <w:tbl>
      <w:tblPr>
        <w:tblW w:type="dxa" w:w="9350"/>
        <w:tblBorders>
          <w:top w:val="single" w:color="D8E2E8" w:sz="4"/>
          <w:left w:val="single" w:color="D8E2E8" w:sz="4"/>
          <w:bottom w:val="single" w:color="D8E2E8" w:sz="4"/>
          <w:right w:val="single" w:color="D8E2E8" w:sz="4"/>
          <w:insideH w:val="single" w:color="D8E2E8" w:sz="4"/>
          <w:insideV w:val="single" w:color="D8E2E8" w:sz="4"/>
        </w:tblBorders>
      </w:tblPr>
      <w:tblGrid>
        <w:gridCol w:w="2600"/>
        <w:gridCol w:w="6750"/>
      </w:tblGrid>
      <w:tr>
        <w:trPr>
          <w:tblHeader/>
        </w:trPr>
        <w:tc>
          <w:tcPr>
            <w:tcW w:type="dxa" w:w="2600"/>
            <w:shd w:fill="0B1F3A" w:val="clear"/>
            <w:tcMar>
              <w:top w:type="dxa" w:w="90"/>
              <w:left w:type="dxa" w:w="130"/>
              <w:bottom w:type="dxa" w:w="90"/>
              <w:right w:type="dxa" w:w="130"/>
            </w:tcMar>
          </w:tcPr>
          <w:p>
            <w:pPr>
              <w:spacing w:after="0" w:line="260"/>
            </w:pPr>
            <w:r>
              <w:rPr>
                <w:rFonts w:ascii="Calibri" w:cs="Calibri" w:eastAsia="Calibri" w:hAnsi="Calibri"/>
                <w:b/>
                <w:bCs/>
                <w:color w:val="FFFFFF"/>
                <w:sz w:val="20"/>
                <w:szCs w:val="20"/>
              </w:rPr>
              <w:t xml:space="preserve">Attribute</w:t>
            </w:r>
          </w:p>
        </w:tc>
        <w:tc>
          <w:tcPr>
            <w:tcW w:type="dxa" w:w="6750"/>
            <w:shd w:fill="0B1F3A" w:val="clear"/>
            <w:tcMar>
              <w:top w:type="dxa" w:w="90"/>
              <w:left w:type="dxa" w:w="130"/>
              <w:bottom w:type="dxa" w:w="90"/>
              <w:right w:type="dxa" w:w="130"/>
            </w:tcMar>
          </w:tcPr>
          <w:p>
            <w:pPr>
              <w:spacing w:after="0" w:line="260"/>
            </w:pPr>
            <w:r>
              <w:rPr>
                <w:rFonts w:ascii="Calibri" w:cs="Calibri" w:eastAsia="Calibri" w:hAnsi="Calibri"/>
                <w:b/>
                <w:bCs/>
                <w:color w:val="FFFFFF"/>
                <w:sz w:val="20"/>
                <w:szCs w:val="20"/>
              </w:rPr>
              <w:t xml:space="preserve">Target / requirement</w:t>
            </w:r>
          </w:p>
        </w:tc>
      </w:tr>
      <w:tr>
        <w:tc>
          <w:tcPr>
            <w:tcW w:type="dxa" w:w="26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Happy-path journey latency</w:t>
            </w:r>
          </w:p>
        </w:tc>
        <w:tc>
          <w:tcPr>
            <w:tcW w:type="dxa" w:w="67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p95 &lt; 90 seconds end-to-end including the external eKYC provider</w:t>
            </w:r>
          </w:p>
        </w:tc>
      </w:tr>
      <w:tr>
        <w:tc>
          <w:tcPr>
            <w:tcW w:type="dxa" w:w="26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Availability</w:t>
            </w:r>
          </w:p>
        </w:tc>
        <w:tc>
          <w:tcPr>
            <w:tcW w:type="dxa" w:w="67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Tier-critical: onboarding down blocks new customers for both apps</w:t>
            </w:r>
          </w:p>
        </w:tc>
      </w:tr>
      <w:tr>
        <w:tc>
          <w:tcPr>
            <w:tcW w:type="dxa" w:w="26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PII protection</w:t>
            </w:r>
          </w:p>
        </w:tc>
        <w:tc>
          <w:tcPr>
            <w:tcW w:type="dxa" w:w="67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Evidence crypto-shredded on data-erasure request; national IDs logged masked</w:t>
            </w:r>
          </w:p>
        </w:tc>
      </w:tr>
      <w:tr>
        <w:tc>
          <w:tcPr>
            <w:tcW w:type="dxa" w:w="26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Isolation</w:t>
            </w:r>
          </w:p>
        </w:tc>
        <w:tc>
          <w:tcPr>
            <w:tcW w:type="dxa" w:w="67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Customer data tenant- (and app-) scoped; cross-tenant read impossible (§19.3 suite)</w:t>
            </w:r>
          </w:p>
        </w:tc>
      </w:tr>
      <w:tr>
        <w:tc>
          <w:tcPr>
            <w:tcW w:type="dxa" w:w="26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Auditability</w:t>
            </w:r>
          </w:p>
        </w:tc>
        <w:tc>
          <w:tcPr>
            <w:tcW w:type="dxa" w:w="67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Every profile and tier change reconstructable from append-only history</w:t>
            </w:r>
          </w:p>
        </w:tc>
      </w:tr>
      <w:tr>
        <w:tc>
          <w:tcPr>
            <w:tcW w:type="dxa" w:w="26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Throughput</w:t>
            </w:r>
          </w:p>
        </w:tc>
        <w:tc>
          <w:tcPr>
            <w:tcW w:type="dxa" w:w="67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Sized to the launch onboarding volume × 3 peak</w:t>
            </w:r>
          </w:p>
        </w:tc>
      </w:tr>
    </w:tbl>
    <w:p>
      <w:pPr>
        <w:pStyle w:val="Heading1"/>
        <w:spacing w:after="200" w:before="340"/>
      </w:pPr>
      <w:r>
        <w:rPr>
          <w:rFonts w:ascii="Calibri" w:cs="Calibri" w:eastAsia="Calibri" w:hAnsi="Calibri"/>
          <w:b/>
          <w:bCs/>
          <w:color w:val="0B1F3A"/>
          <w:sz w:val="30"/>
          <w:szCs w:val="30"/>
        </w:rPr>
        <w:t xml:space="preserve">6. Data Owned</w:t>
      </w:r>
    </w:p>
    <w:p>
      <w:pPr>
        <w:spacing w:after="160" w:line="300"/>
      </w:pPr>
      <w:r>
        <w:rPr>
          <w:rFonts w:ascii="Calibri" w:cs="Calibri" w:eastAsia="Calibri" w:hAnsi="Calibri"/>
          <w:color w:val="1E2A38"/>
          <w:sz w:val="22"/>
          <w:szCs w:val="22"/>
        </w:rPr>
        <w:t xml:space="preserve">This component is the system of record for the following (all rows tenant-scoped; app_id present where the component is a shared adapter):</w:t>
      </w:r>
    </w:p>
    <w:p>
      <w:pPr>
        <w:pStyle w:val="ListParagraph"/>
        <w:numPr>
          <w:ilvl w:val="0"/>
          <w:numId w:val="2"/>
        </w:numPr>
        <w:spacing w:after="120" w:line="290"/>
      </w:pPr>
      <w:r>
        <w:rPr>
          <w:rFonts w:ascii="Calibri" w:cs="Calibri" w:eastAsia="Calibri" w:hAnsi="Calibri"/>
          <w:color w:val="1E2A38"/>
          <w:sz w:val="22"/>
          <w:szCs w:val="22"/>
        </w:rPr>
        <w:t xml:space="preserve">Customers (retail) — identity, status, current risk tier.</w:t>
      </w:r>
    </w:p>
    <w:p>
      <w:pPr>
        <w:pStyle w:val="ListParagraph"/>
        <w:numPr>
          <w:ilvl w:val="0"/>
          <w:numId w:val="2"/>
        </w:numPr>
        <w:spacing w:after="120" w:line="290"/>
      </w:pPr>
      <w:r>
        <w:rPr>
          <w:rFonts w:ascii="Calibri" w:cs="Calibri" w:eastAsia="Calibri" w:hAnsi="Calibri"/>
          <w:color w:val="1E2A38"/>
          <w:sz w:val="22"/>
          <w:szCs w:val="22"/>
        </w:rPr>
        <w:t xml:space="preserve">Businesses + UBOs — entity, registration, beneficial owners and their verification state.</w:t>
      </w:r>
    </w:p>
    <w:p>
      <w:pPr>
        <w:pStyle w:val="ListParagraph"/>
        <w:numPr>
          <w:ilvl w:val="0"/>
          <w:numId w:val="2"/>
        </w:numPr>
        <w:spacing w:after="120" w:line="290"/>
      </w:pPr>
      <w:r>
        <w:rPr>
          <w:rFonts w:ascii="Calibri" w:cs="Calibri" w:eastAsia="Calibri" w:hAnsi="Calibri"/>
          <w:color w:val="1E2A38"/>
          <w:sz w:val="22"/>
          <w:szCs w:val="22"/>
        </w:rPr>
        <w:t xml:space="preserve">Verification cases — provider, status, outcome, evidence reference.</w:t>
      </w:r>
    </w:p>
    <w:p>
      <w:pPr>
        <w:pStyle w:val="ListParagraph"/>
        <w:numPr>
          <w:ilvl w:val="0"/>
          <w:numId w:val="2"/>
        </w:numPr>
        <w:spacing w:after="120" w:line="290"/>
      </w:pPr>
      <w:r>
        <w:rPr>
          <w:rFonts w:ascii="Calibri" w:cs="Calibri" w:eastAsia="Calibri" w:hAnsi="Calibri"/>
          <w:color w:val="1E2A38"/>
          <w:sz w:val="22"/>
          <w:szCs w:val="22"/>
        </w:rPr>
        <w:t xml:space="preserve">Customer change history — append-only audit of every field change.</w:t>
      </w:r>
    </w:p>
    <w:p>
      <w:pPr>
        <w:pStyle w:val="ListParagraph"/>
        <w:numPr>
          <w:ilvl w:val="0"/>
          <w:numId w:val="2"/>
        </w:numPr>
        <w:spacing w:after="120" w:line="290"/>
      </w:pPr>
      <w:r>
        <w:rPr>
          <w:rFonts w:ascii="Calibri" w:cs="Calibri" w:eastAsia="Calibri" w:hAnsi="Calibri"/>
          <w:color w:val="1E2A38"/>
          <w:sz w:val="22"/>
          <w:szCs w:val="22"/>
        </w:rPr>
        <w:t xml:space="preserve">Onboarding journeys — workflow state and SLA timers.</w:t>
      </w:r>
    </w:p>
    <w:p>
      <w:pPr>
        <w:pStyle w:val="Heading1"/>
        <w:spacing w:after="200" w:before="340"/>
      </w:pPr>
      <w:r>
        <w:rPr>
          <w:rFonts w:ascii="Calibri" w:cs="Calibri" w:eastAsia="Calibri" w:hAnsi="Calibri"/>
          <w:b/>
          <w:bCs/>
          <w:color w:val="0B1F3A"/>
          <w:sz w:val="30"/>
          <w:szCs w:val="30"/>
        </w:rPr>
        <w:t xml:space="preserve">7. Interfaces</w:t>
      </w:r>
    </w:p>
    <w:p>
      <w:pPr>
        <w:pStyle w:val="Heading2"/>
        <w:spacing w:after="160" w:before="260"/>
      </w:pPr>
      <w:r>
        <w:rPr>
          <w:rFonts w:ascii="Calibri" w:cs="Calibri" w:eastAsia="Calibri" w:hAnsi="Calibri"/>
          <w:b/>
          <w:bCs/>
          <w:color w:val="0A7E79"/>
          <w:sz w:val="25"/>
          <w:szCs w:val="25"/>
        </w:rPr>
        <w:t xml:space="preserve">7.1 APIs / methods exposed</w:t>
      </w:r>
    </w:p>
    <w:p>
      <w:pPr>
        <w:pStyle w:val="ListParagraph"/>
        <w:numPr>
          <w:ilvl w:val="0"/>
          <w:numId w:val="2"/>
        </w:numPr>
        <w:spacing w:after="120" w:line="290"/>
      </w:pPr>
      <w:r>
        <w:rPr>
          <w:rFonts w:ascii="Calibri" w:cs="Calibri" w:eastAsia="Calibri" w:hAnsi="Calibri"/>
          <w:color w:val="1E2A38"/>
          <w:sz w:val="22"/>
          <w:szCs w:val="22"/>
        </w:rPr>
        <w:t xml:space="preserve">POST /v1/customers · POST /v1/customers/{id}/verifications · POST /v1/verifications/{caseId}/evidence.</w:t>
      </w:r>
    </w:p>
    <w:p>
      <w:pPr>
        <w:pStyle w:val="ListParagraph"/>
        <w:numPr>
          <w:ilvl w:val="0"/>
          <w:numId w:val="2"/>
        </w:numPr>
        <w:spacing w:after="120" w:line="290"/>
      </w:pPr>
      <w:r>
        <w:rPr>
          <w:rFonts w:ascii="Calibri" w:cs="Calibri" w:eastAsia="Calibri" w:hAnsi="Calibri"/>
          <w:color w:val="1E2A38"/>
          <w:sz w:val="22"/>
          <w:szCs w:val="22"/>
        </w:rPr>
        <w:t xml:space="preserve">GET /v1/customers/{id}/risk-tier · POST /v1/businesses/{id}/ubos.</w:t>
      </w:r>
    </w:p>
    <w:p>
      <w:pPr>
        <w:pStyle w:val="ListParagraph"/>
        <w:numPr>
          <w:ilvl w:val="0"/>
          <w:numId w:val="2"/>
        </w:numPr>
        <w:spacing w:after="120" w:line="290"/>
      </w:pPr>
      <w:r>
        <w:rPr>
          <w:rFonts w:ascii="Calibri" w:cs="Calibri" w:eastAsia="Calibri" w:hAnsi="Calibri"/>
          <w:color w:val="1E2A38"/>
          <w:sz w:val="22"/>
          <w:szCs w:val="22"/>
        </w:rPr>
        <w:t xml:space="preserve">GET /v1/customers/{id}/onboarding (status + SLA).</w:t>
      </w:r>
    </w:p>
    <w:p>
      <w:pPr>
        <w:pStyle w:val="Heading2"/>
        <w:spacing w:after="160" w:before="260"/>
      </w:pPr>
      <w:r>
        <w:rPr>
          <w:rFonts w:ascii="Calibri" w:cs="Calibri" w:eastAsia="Calibri" w:hAnsi="Calibri"/>
          <w:b/>
          <w:bCs/>
          <w:color w:val="0A7E79"/>
          <w:sz w:val="25"/>
          <w:szCs w:val="25"/>
        </w:rPr>
        <w:t xml:space="preserve">7.2 Events published / consumed</w:t>
      </w:r>
    </w:p>
    <w:p>
      <w:pPr>
        <w:pStyle w:val="ListParagraph"/>
        <w:numPr>
          <w:ilvl w:val="0"/>
          <w:numId w:val="2"/>
        </w:numPr>
        <w:spacing w:after="120" w:line="290"/>
      </w:pPr>
      <w:r>
        <w:rPr>
          <w:rFonts w:ascii="Calibri" w:cs="Calibri" w:eastAsia="Calibri" w:hAnsi="Calibri"/>
          <w:color w:val="1E2A38"/>
          <w:sz w:val="22"/>
          <w:szCs w:val="22"/>
        </w:rPr>
        <w:t xml:space="preserve">Publishes: identity.customer.registered.v1, identity.verification.completed.v1, identity.risk_tier.changed.v1.</w:t>
      </w:r>
    </w:p>
    <w:p>
      <w:pPr>
        <w:pStyle w:val="ListParagraph"/>
        <w:numPr>
          <w:ilvl w:val="0"/>
          <w:numId w:val="2"/>
        </w:numPr>
        <w:spacing w:after="120" w:line="290"/>
      </w:pPr>
      <w:r>
        <w:rPr>
          <w:rFonts w:ascii="Calibri" w:cs="Calibri" w:eastAsia="Calibri" w:hAnsi="Calibri"/>
          <w:color w:val="1E2A38"/>
          <w:sz w:val="22"/>
          <w:szCs w:val="22"/>
        </w:rPr>
        <w:t xml:space="preserve">Consumes: screening.case.resolved.v1 (triggers tier recompute).</w:t>
      </w:r>
    </w:p>
    <w:p>
      <w:pPr>
        <w:pStyle w:val="ListParagraph"/>
        <w:numPr>
          <w:ilvl w:val="0"/>
          <w:numId w:val="2"/>
        </w:numPr>
        <w:spacing w:after="120" w:line="290"/>
      </w:pPr>
      <w:r>
        <w:rPr>
          <w:rFonts w:ascii="Calibri" w:cs="Calibri" w:eastAsia="Calibri" w:hAnsi="Calibri"/>
          <w:color w:val="1E2A38"/>
          <w:sz w:val="22"/>
          <w:szCs w:val="22"/>
        </w:rPr>
        <w:t xml:space="preserve">All published via the transactional outbox.</w:t>
      </w:r>
    </w:p>
    <w:p>
      <w:pPr>
        <w:pStyle w:val="Heading1"/>
        <w:spacing w:after="200" w:before="340"/>
      </w:pPr>
      <w:r>
        <w:rPr>
          <w:rFonts w:ascii="Calibri" w:cs="Calibri" w:eastAsia="Calibri" w:hAnsi="Calibri"/>
          <w:b/>
          <w:bCs/>
          <w:color w:val="0B1F3A"/>
          <w:sz w:val="30"/>
          <w:szCs w:val="30"/>
        </w:rPr>
        <w:t xml:space="preserve">8. Dependencies</w:t>
      </w:r>
    </w:p>
    <w:tbl>
      <w:tblPr>
        <w:tblW w:type="dxa" w:w="9350"/>
        <w:tblBorders>
          <w:top w:val="single" w:color="D8E2E8" w:sz="4"/>
          <w:left w:val="single" w:color="D8E2E8" w:sz="4"/>
          <w:bottom w:val="single" w:color="D8E2E8" w:sz="4"/>
          <w:right w:val="single" w:color="D8E2E8" w:sz="4"/>
          <w:insideH w:val="single" w:color="D8E2E8" w:sz="4"/>
          <w:insideV w:val="single" w:color="D8E2E8" w:sz="4"/>
        </w:tblBorders>
      </w:tblPr>
      <w:tblGrid>
        <w:gridCol w:w="2500"/>
        <w:gridCol w:w="3550"/>
        <w:gridCol w:w="3300"/>
      </w:tblGrid>
      <w:tr>
        <w:trPr>
          <w:tblHeader/>
        </w:trPr>
        <w:tc>
          <w:tcPr>
            <w:tcW w:type="dxa" w:w="2500"/>
            <w:shd w:fill="0B1F3A" w:val="clear"/>
            <w:tcMar>
              <w:top w:type="dxa" w:w="90"/>
              <w:left w:type="dxa" w:w="130"/>
              <w:bottom w:type="dxa" w:w="90"/>
              <w:right w:type="dxa" w:w="130"/>
            </w:tcMar>
          </w:tcPr>
          <w:p>
            <w:pPr>
              <w:spacing w:after="0" w:line="260"/>
            </w:pPr>
            <w:r>
              <w:rPr>
                <w:rFonts w:ascii="Calibri" w:cs="Calibri" w:eastAsia="Calibri" w:hAnsi="Calibri"/>
                <w:b/>
                <w:bCs/>
                <w:color w:val="FFFFFF"/>
                <w:sz w:val="20"/>
                <w:szCs w:val="20"/>
              </w:rPr>
              <w:t xml:space="preserve">Depends on</w:t>
            </w:r>
          </w:p>
        </w:tc>
        <w:tc>
          <w:tcPr>
            <w:tcW w:type="dxa" w:w="3550"/>
            <w:shd w:fill="0B1F3A" w:val="clear"/>
            <w:tcMar>
              <w:top w:type="dxa" w:w="90"/>
              <w:left w:type="dxa" w:w="130"/>
              <w:bottom w:type="dxa" w:w="90"/>
              <w:right w:type="dxa" w:w="130"/>
            </w:tcMar>
          </w:tcPr>
          <w:p>
            <w:pPr>
              <w:spacing w:after="0" w:line="260"/>
            </w:pPr>
            <w:r>
              <w:rPr>
                <w:rFonts w:ascii="Calibri" w:cs="Calibri" w:eastAsia="Calibri" w:hAnsi="Calibri"/>
                <w:b/>
                <w:bCs/>
                <w:color w:val="FFFFFF"/>
                <w:sz w:val="20"/>
                <w:szCs w:val="20"/>
              </w:rPr>
              <w:t xml:space="preserve">For what</w:t>
            </w:r>
          </w:p>
        </w:tc>
        <w:tc>
          <w:tcPr>
            <w:tcW w:type="dxa" w:w="3300"/>
            <w:shd w:fill="0B1F3A" w:val="clear"/>
            <w:tcMar>
              <w:top w:type="dxa" w:w="90"/>
              <w:left w:type="dxa" w:w="130"/>
              <w:bottom w:type="dxa" w:w="90"/>
              <w:right w:type="dxa" w:w="130"/>
            </w:tcMar>
          </w:tcPr>
          <w:p>
            <w:pPr>
              <w:spacing w:after="0" w:line="260"/>
            </w:pPr>
            <w:r>
              <w:rPr>
                <w:rFonts w:ascii="Calibri" w:cs="Calibri" w:eastAsia="Calibri" w:hAnsi="Calibri"/>
                <w:b/>
                <w:bCs/>
                <w:color w:val="FFFFFF"/>
                <w:sz w:val="20"/>
                <w:szCs w:val="20"/>
              </w:rPr>
              <w:t xml:space="preserve">Failure behaviour if unavailable</w:t>
            </w:r>
          </w:p>
        </w:tc>
      </w:tr>
      <w:tr>
        <w:tc>
          <w:tcPr>
            <w:tcW w:type="dxa" w:w="25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eKYC adapter (16)</w:t>
            </w:r>
          </w:p>
        </w:tc>
        <w:tc>
          <w:tcPr>
            <w:tcW w:type="dxa" w:w="35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Document/liveness/registry verification</w:t>
            </w:r>
          </w:p>
        </w:tc>
        <w:tc>
          <w:tcPr>
            <w:tcW w:type="dxa" w:w="33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Case → MANUAL_REVIEW; never auto-approve</w:t>
            </w:r>
          </w:p>
        </w:tc>
      </w:tr>
      <w:tr>
        <w:tc>
          <w:tcPr>
            <w:tcW w:type="dxa" w:w="25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Screening (03)</w:t>
            </w:r>
          </w:p>
        </w:tc>
        <w:tc>
          <w:tcPr>
            <w:tcW w:type="dxa" w:w="35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Onboarding-time sanctions/PEP screen</w:t>
            </w:r>
          </w:p>
        </w:tc>
        <w:tc>
          <w:tcPr>
            <w:tcW w:type="dxa" w:w="33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Onboarding holds pending screen result</w:t>
            </w:r>
          </w:p>
        </w:tc>
      </w:tr>
      <w:tr>
        <w:tc>
          <w:tcPr>
            <w:tcW w:type="dxa" w:w="25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Control Plane (12)</w:t>
            </w:r>
          </w:p>
        </w:tc>
        <w:tc>
          <w:tcPr>
            <w:tcW w:type="dxa" w:w="35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Effective compliance pack &amp; tier model</w:t>
            </w:r>
          </w:p>
        </w:tc>
        <w:tc>
          <w:tcPr>
            <w:tcW w:type="dxa" w:w="33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Fail-safe on cached pack; hard-fail if none</w:t>
            </w:r>
          </w:p>
        </w:tc>
      </w:tr>
      <w:tr>
        <w:tc>
          <w:tcPr>
            <w:tcW w:type="dxa" w:w="25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Notification (13)</w:t>
            </w:r>
          </w:p>
        </w:tc>
        <w:tc>
          <w:tcPr>
            <w:tcW w:type="dxa" w:w="35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Onboarding status comms to the customer</w:t>
            </w:r>
          </w:p>
        </w:tc>
        <w:tc>
          <w:tcPr>
            <w:tcW w:type="dxa" w:w="33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Queue and retry; journey still progresses</w:t>
            </w:r>
          </w:p>
        </w:tc>
      </w:tr>
      <w:tr>
        <w:tc>
          <w:tcPr>
            <w:tcW w:type="dxa" w:w="25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Persistence (14) / OIDC (22)</w:t>
            </w:r>
          </w:p>
        </w:tc>
        <w:tc>
          <w:tcPr>
            <w:tcW w:type="dxa" w:w="35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Tenant-isolated storage / authenticated tenant</w:t>
            </w:r>
          </w:p>
        </w:tc>
        <w:tc>
          <w:tcPr>
            <w:tcW w:type="dxa" w:w="33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Request rejected without tenant context</w:t>
            </w:r>
          </w:p>
        </w:tc>
      </w:tr>
    </w:tbl>
    <w:p>
      <w:pPr>
        <w:pStyle w:val="Heading1"/>
        <w:spacing w:after="200" w:before="340"/>
      </w:pPr>
      <w:r>
        <w:rPr>
          <w:rFonts w:ascii="Calibri" w:cs="Calibri" w:eastAsia="Calibri" w:hAnsi="Calibri"/>
          <w:b/>
          <w:bCs/>
          <w:color w:val="0B1F3A"/>
          <w:sz w:val="30"/>
          <w:szCs w:val="30"/>
        </w:rPr>
        <w:t xml:space="preserve">9. Key Risks &amp; Controls</w:t>
      </w:r>
    </w:p>
    <w:p>
      <w:pPr>
        <w:pStyle w:val="ListParagraph"/>
        <w:numPr>
          <w:ilvl w:val="0"/>
          <w:numId w:val="2"/>
        </w:numPr>
        <w:spacing w:after="120" w:line="290"/>
      </w:pPr>
      <w:r>
        <w:rPr>
          <w:rFonts w:ascii="Calibri" w:cs="Calibri" w:eastAsia="Calibri" w:hAnsi="Calibri"/>
          <w:color w:val="1E2A38"/>
          <w:sz w:val="22"/>
          <w:szCs w:val="22"/>
        </w:rPr>
        <w:t xml:space="preserve">Auto-approving on provider failure — controlled by the mandatory MANUAL_REVIEW fallback.</w:t>
      </w:r>
    </w:p>
    <w:p>
      <w:pPr>
        <w:pStyle w:val="ListParagraph"/>
        <w:numPr>
          <w:ilvl w:val="0"/>
          <w:numId w:val="2"/>
        </w:numPr>
        <w:spacing w:after="120" w:line="290"/>
      </w:pPr>
      <w:r>
        <w:rPr>
          <w:rFonts w:ascii="Calibri" w:cs="Calibri" w:eastAsia="Calibri" w:hAnsi="Calibri"/>
          <w:color w:val="1E2A38"/>
          <w:sz w:val="22"/>
          <w:szCs w:val="22"/>
        </w:rPr>
        <w:t xml:space="preserve">PII leakage — controlled by reference-only evidence storage, masked logging and crypto-shred on erasure.</w:t>
      </w:r>
    </w:p>
    <w:p>
      <w:pPr>
        <w:pStyle w:val="ListParagraph"/>
        <w:numPr>
          <w:ilvl w:val="0"/>
          <w:numId w:val="2"/>
        </w:numPr>
        <w:spacing w:after="120" w:line="290"/>
      </w:pPr>
      <w:r>
        <w:rPr>
          <w:rFonts w:ascii="Calibri" w:cs="Calibri" w:eastAsia="Calibri" w:hAnsi="Calibri"/>
          <w:color w:val="1E2A38"/>
          <w:sz w:val="22"/>
          <w:szCs w:val="22"/>
        </w:rPr>
        <w:t xml:space="preserve">Wrong-market rules applied — controlled by pack-driven checks resolved from the Control Plane per request.</w:t>
      </w:r>
    </w:p>
    <w:p>
      <w:pPr>
        <w:pStyle w:val="ListParagraph"/>
        <w:numPr>
          <w:ilvl w:val="0"/>
          <w:numId w:val="2"/>
        </w:numPr>
        <w:spacing w:after="120" w:line="290"/>
      </w:pPr>
      <w:r>
        <w:rPr>
          <w:rFonts w:ascii="Calibri" w:cs="Calibri" w:eastAsia="Calibri" w:hAnsi="Calibri"/>
          <w:color w:val="1E2A38"/>
          <w:sz w:val="22"/>
          <w:szCs w:val="22"/>
        </w:rPr>
        <w:t xml:space="preserve">Cross-tenant/app data exposure — controlled by the isolation suite gating every release.</w:t>
      </w:r>
    </w:p>
    <w:tbl>
      <w:tblPr>
        <w:tblW w:type="dxa" w:w="9350"/>
        <w:tblBorders>
          <w:top w:val="single" w:color="B9770E" w:sz="6"/>
          <w:left w:val="single" w:color="B9770E" w:sz="18"/>
          <w:bottom w:val="single" w:color="B9770E" w:sz="6"/>
          <w:right w:val="single" w:color="B9770E" w:sz="6"/>
          <w:insideH w:val="single" w:color="B9770E" w:sz="6"/>
          <w:insideV w:val="single" w:color="B9770E" w:sz="6"/>
        </w:tblBorders>
      </w:tblPr>
      <w:tblGrid>
        <w:gridCol w:w="9350"/>
      </w:tblGrid>
      <w:tr>
        <w:tc>
          <w:tcPr>
            <w:tcW w:type="dxa" w:w="9350"/>
            <w:shd w:fill="FDEBD0" w:val="clear"/>
            <w:tcMar>
              <w:top w:type="dxa" w:w="130"/>
              <w:left w:type="dxa" w:w="170"/>
              <w:bottom w:type="dxa" w:w="130"/>
              <w:right w:type="dxa" w:w="170"/>
            </w:tcMar>
          </w:tcPr>
          <w:p>
            <w:pPr>
              <w:spacing w:after="0" w:line="290"/>
            </w:pPr>
            <w:r>
              <w:rPr>
                <w:rFonts w:ascii="Calibri" w:cs="Calibri" w:eastAsia="Calibri" w:hAnsi="Calibri"/>
                <w:b/>
                <w:bCs/>
                <w:color w:val="B9770E"/>
                <w:sz w:val="21"/>
                <w:szCs w:val="21"/>
              </w:rPr>
              <w:t xml:space="preserve">Shared across both apps.  </w:t>
            </w:r>
            <w:r>
              <w:rPr>
                <w:rFonts w:ascii="Calibri" w:cs="Calibri" w:eastAsia="Calibri" w:hAnsi="Calibri"/>
                <w:color w:val="1E2A38"/>
                <w:sz w:val="21"/>
                <w:szCs w:val="21"/>
              </w:rPr>
              <w:t xml:space="preserve">This service onboards banking customers and takaful participants with the same code; only the compliance pack and the onboarding-workflow variant differ. Build it once for banking; takaful reuses it.</w:t>
            </w:r>
          </w:p>
        </w:tc>
      </w:tr>
    </w:tbl>
    <w:sectPr>
      <w:headerReference w:type="default" r:id="rId7"/>
      <w:footerReference w:type="default" r:id="rId8"/>
      <w:pgSz w:w="12240" w:h="15840" w:orient="portrait"/>
      <w:pgMar w:top="1200" w:right="1440" w:bottom="120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spacing w:after="0"/>
      <w:jc w:val="center"/>
    </w:pPr>
    <w:r>
      <w:rPr>
        <w:rFonts w:ascii="Calibri" w:cs="Calibri" w:eastAsia="Calibri" w:hAnsi="Calibri"/>
        <w:color w:val="5B6B7A"/>
        <w:sz w:val="17"/>
        <w:szCs w:val="17"/>
      </w:rPr>
      <w:t xml:space="preserve">Confidential — Internal Use   ·   Page </w:t>
    </w:r>
    <w:r>
      <w:rPr>
        <w:rFonts w:ascii="Calibri" w:cs="Calibri" w:eastAsia="Calibri" w:hAnsi="Calibri"/>
        <w:color w:val="5B6B7A"/>
        <w:sz w:val="17"/>
        <w:szCs w:val="17"/>
      </w:rPr>
      <w:fldChar w:fldCharType="begin"/>
      <w:instrText xml:space="preserve">PAGE</w:instrText>
      <w:fldChar w:fldCharType="separate"/>
      <w:fldChar w:fldCharType="end"/>
    </w:r>
    <w:r>
      <w:rPr>
        <w:rFonts w:ascii="Calibri" w:cs="Calibri" w:eastAsia="Calibri" w:hAnsi="Calibri"/>
        <w:color w:val="5B6B7A"/>
        <w:sz w:val="17"/>
        <w:szCs w:val="17"/>
      </w:rPr>
      <w:t xml:space="preserve"> of </w:t>
    </w:r>
    <w:r>
      <w:rPr>
        <w:rFonts w:ascii="Calibri" w:cs="Calibri" w:eastAsia="Calibri" w:hAnsi="Calibri"/>
        <w:color w:val="5B6B7A"/>
        <w:sz w:val="17"/>
        <w:szCs w:val="17"/>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0"/>
      <w:jc w:val="right"/>
    </w:pPr>
    <w:r>
      <w:rPr>
        <w:rFonts w:ascii="Calibri" w:cs="Calibri" w:eastAsia="Calibri" w:hAnsi="Calibri"/>
        <w:color w:val="0A7E79"/>
        <w:sz w:val="17"/>
        <w:szCs w:val="17"/>
      </w:rPr>
      <w:t xml:space="preserve">Service 02 — Identity, KYC/KYB &amp; Onboarding Service · Feature Specification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start"/>
      <w:pPr>
        <w:ind w:left="460" w:hanging="23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1E2A38"/>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2026-07-22T16:01:34.636Z</dcterms:created>
  <dcterms:modified xsi:type="dcterms:W3CDTF">2026-07-22T16:01:34.669Z</dcterms:modified>
</cp:coreProperties>
</file>

<file path=docProps/custom.xml><?xml version="1.0" encoding="utf-8"?>
<Properties xmlns="http://schemas.openxmlformats.org/officeDocument/2006/custom-properties" xmlns:vt="http://schemas.openxmlformats.org/officeDocument/2006/docPropsVTypes"/>
</file>