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700"/>
      </w:pPr>
      <w:r>
        <w:rPr>
          <w:rFonts w:ascii="Calibri" w:cs="Calibri" w:eastAsia="Calibri" w:hAnsi="Calibri"/>
          <w:b/>
          <w:bCs/>
          <w:color w:val="0A7E79"/>
          <w:sz w:val="21"/>
          <w:szCs w:val="21"/>
        </w:rPr>
        <w:t xml:space="preserve">FEATURE SPECIFICATION · SERVICE · Service 03</w:t>
      </w:r>
    </w:p>
    <w:p>
      <w:pPr>
        <w:spacing w:after="200"/>
      </w:pPr>
      <w:r>
        <w:rPr>
          <w:rFonts w:ascii="Calibri" w:cs="Calibri" w:eastAsia="Calibri" w:hAnsi="Calibri"/>
          <w:b/>
          <w:bCs/>
          <w:color w:val="0B1F3A"/>
          <w:sz w:val="52"/>
          <w:szCs w:val="52"/>
        </w:rPr>
        <w:t xml:space="preserve">Screening &amp; AML Service — Feature Specification</w:t>
      </w:r>
    </w:p>
    <w:p>
      <w:pPr>
        <w:spacing w:after="200"/>
      </w:pPr>
      <w:r>
        <w:rPr>
          <w:rFonts w:ascii="Calibri" w:cs="Calibri" w:eastAsia="Calibri" w:hAnsi="Calibri"/>
          <w:b/>
          <w:bCs/>
          <w:color w:val="0A7E79"/>
          <w:sz w:val="27"/>
          <w:szCs w:val="27"/>
        </w:rPr>
        <w:t xml:space="preserve">Sanctions / PEP / adverse-media screening, transaction monitoring and case management</w:t>
      </w:r>
    </w:p>
    <w:p>
      <w:pPr>
        <w:spacing w:after="420"/>
      </w:pPr>
      <w:r>
        <w:rPr>
          <w:rFonts w:ascii="Calibri" w:cs="Calibri" w:eastAsia="Calibri" w:hAnsi="Calibri"/>
          <w:i/>
          <w:iCs/>
          <w:color w:val="5B6B7A"/>
          <w:sz w:val="22"/>
          <w:szCs w:val="22"/>
        </w:rPr>
        <w:t xml:space="preserve">The compliance gate every onboarding and every money movement passes through — fail-safe closed, entirely driven by the tenant's compliance pack.</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300"/>
        <w:gridCol w:w="7050"/>
      </w:tblGrid>
      <w:tr>
        <w:trPr>
          <w:tblHeader/>
        </w:trPr>
        <w:tc>
          <w:tcPr>
            <w:tcW w:type="dxa" w:w="23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Field</w:t>
            </w:r>
          </w:p>
        </w:tc>
        <w:tc>
          <w:tcPr>
            <w:tcW w:type="dxa" w:w="70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Details</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Component</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Screening &amp; AML Service (Service 03)</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Type</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Domain / platform service</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Runtime</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NestJS 10 / TypeScript strict · PostgreSQL 16 + OpenSearch</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Owning squad</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Compliance &amp; AML</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Consumes / depends 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Screening adapter (15), Control Plane (12), Persistence (14)</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Consumed by</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Identity (02), Payments (05), Takaful app, Compliance Reporting (08)</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Design companion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03_screening_aml.design.md</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Status</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Design stage — nothing built yet; features below are the target scope to build</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Version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1.0</w:t>
            </w:r>
          </w:p>
        </w:tc>
      </w:tr>
      <w:tr>
        <w:tc>
          <w:tcPr>
            <w:tcW w:type="dxa" w:w="2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Date</w:t>
            </w:r>
          </w:p>
        </w:tc>
        <w:tc>
          <w:tcPr>
            <w:tcW w:type="dxa" w:w="70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17 July 2026</w:t>
            </w:r>
          </w:p>
        </w:tc>
      </w:tr>
      <w:tr>
        <w:tc>
          <w:tcPr>
            <w:tcW w:type="dxa" w:w="2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Classification</w:t>
            </w:r>
          </w:p>
        </w:tc>
        <w:tc>
          <w:tcPr>
            <w:tcW w:type="dxa" w:w="70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Confidential — Internal Use</w:t>
            </w:r>
          </w:p>
        </w:tc>
      </w:tr>
    </w:tbl>
    <w:p>
      <w:r>
        <w:br w:type="page"/>
      </w:r>
    </w:p>
    <w:p>
      <w:pPr>
        <w:pStyle w:val="Heading1"/>
        <w:spacing w:after="200" w:before="340"/>
      </w:pPr>
      <w:r>
        <w:rPr>
          <w:rFonts w:ascii="Calibri" w:cs="Calibri" w:eastAsia="Calibri" w:hAnsi="Calibri"/>
          <w:b/>
          <w:bCs/>
          <w:color w:val="0B1F3A"/>
          <w:sz w:val="30"/>
          <w:szCs w:val="30"/>
        </w:rPr>
        <w:t xml:space="preserve">1. Overview</w:t>
      </w:r>
    </w:p>
    <w:p>
      <w:pPr>
        <w:spacing w:after="160" w:line="300"/>
      </w:pPr>
      <w:r>
        <w:rPr>
          <w:rFonts w:ascii="Calibri" w:cs="Calibri" w:eastAsia="Calibri" w:hAnsi="Calibri"/>
          <w:color w:val="1E2A38"/>
          <w:sz w:val="22"/>
          <w:szCs w:val="22"/>
        </w:rPr>
        <w:t xml:space="preserve">This service screens customers and counterparties against sanctions, PEP and adverse-media lists, runs transaction-monitoring scenarios, and manages the resulting investigation cases to disposition. It is the single compliance gate for both applications: onboarding calls it, every transfer calls it, and every takaful participant, beneficiary and claim payee passes through it. Its behaviour is defined entirely by the assigned compliance pack — list scope, thresholds and monitoring rules are configuration, never code.</w:t>
      </w:r>
    </w:p>
    <w:tbl>
      <w:tblPr>
        <w:tblW w:type="dxa" w:w="9350"/>
        <w:tblBorders>
          <w:top w:val="single" w:color="0A7E79" w:sz="6"/>
          <w:left w:val="single" w:color="0A7E79" w:sz="18"/>
          <w:bottom w:val="single" w:color="0A7E79" w:sz="6"/>
          <w:right w:val="single" w:color="0A7E79" w:sz="6"/>
          <w:insideH w:val="single" w:color="0A7E79" w:sz="6"/>
          <w:insideV w:val="single" w:color="0A7E79" w:sz="6"/>
        </w:tblBorders>
      </w:tblPr>
      <w:tblGrid>
        <w:gridCol w:w="9350"/>
      </w:tblGrid>
      <w:tr>
        <w:tc>
          <w:tcPr>
            <w:tcW w:type="dxa" w:w="9350"/>
            <w:shd w:fill="EAF2F8" w:val="clear"/>
            <w:tcMar>
              <w:top w:type="dxa" w:w="130"/>
              <w:left w:type="dxa" w:w="170"/>
              <w:bottom w:type="dxa" w:w="130"/>
              <w:right w:type="dxa" w:w="170"/>
            </w:tcMar>
          </w:tcPr>
          <w:p>
            <w:pPr>
              <w:spacing w:after="0" w:line="290"/>
            </w:pPr>
            <w:r>
              <w:rPr>
                <w:rFonts w:ascii="Calibri" w:cs="Calibri" w:eastAsia="Calibri" w:hAnsi="Calibri"/>
                <w:b/>
                <w:bCs/>
                <w:color w:val="0A7E79"/>
                <w:sz w:val="21"/>
                <w:szCs w:val="21"/>
              </w:rPr>
              <w:t xml:space="preserve">Single responsibility.  </w:t>
            </w:r>
            <w:r>
              <w:rPr>
                <w:rFonts w:ascii="Calibri" w:cs="Calibri" w:eastAsia="Calibri" w:hAnsi="Calibri"/>
                <w:color w:val="1E2A38"/>
                <w:sz w:val="21"/>
                <w:szCs w:val="21"/>
              </w:rPr>
              <w:t xml:space="preserve">It decides CLEAR vs HOLD and manages cases. It does not fetch list data itself (that is the Screening adapter, 15) or file regulatory reports (that is Compliance Reporting, 08). On any doubt or error it returns HOLD — it never fails open.</w:t>
            </w:r>
          </w:p>
        </w:tc>
      </w:tr>
    </w:tbl>
    <w:p>
      <w:pPr>
        <w:pStyle w:val="Heading1"/>
        <w:spacing w:after="200" w:before="340"/>
      </w:pPr>
      <w:r>
        <w:rPr>
          <w:rFonts w:ascii="Calibri" w:cs="Calibri" w:eastAsia="Calibri" w:hAnsi="Calibri"/>
          <w:b/>
          <w:bCs/>
          <w:color w:val="0B1F3A"/>
          <w:sz w:val="30"/>
          <w:szCs w:val="30"/>
        </w:rPr>
        <w:t xml:space="preserve">2. Scope</w:t>
      </w:r>
    </w:p>
    <w:p>
      <w:pPr>
        <w:pStyle w:val="Heading2"/>
        <w:spacing w:after="160" w:before="260"/>
      </w:pPr>
      <w:r>
        <w:rPr>
          <w:rFonts w:ascii="Calibri" w:cs="Calibri" w:eastAsia="Calibri" w:hAnsi="Calibri"/>
          <w:b/>
          <w:bCs/>
          <w:color w:val="0A7E79"/>
          <w:sz w:val="25"/>
          <w:szCs w:val="25"/>
        </w:rPr>
        <w:t xml:space="preserve">2.1 In scope</w:t>
      </w:r>
    </w:p>
    <w:p>
      <w:pPr>
        <w:pStyle w:val="ListParagraph"/>
        <w:numPr>
          <w:ilvl w:val="0"/>
          <w:numId w:val="2"/>
        </w:numPr>
        <w:spacing w:after="120" w:line="290"/>
      </w:pPr>
      <w:r>
        <w:rPr>
          <w:rFonts w:ascii="Calibri" w:cs="Calibri" w:eastAsia="Calibri" w:hAnsi="Calibri"/>
          <w:color w:val="1E2A38"/>
          <w:sz w:val="22"/>
          <w:szCs w:val="22"/>
        </w:rPr>
        <w:t xml:space="preserve">Real-time and batch screening of customers and counterparties.</w:t>
      </w:r>
    </w:p>
    <w:p>
      <w:pPr>
        <w:pStyle w:val="ListParagraph"/>
        <w:numPr>
          <w:ilvl w:val="0"/>
          <w:numId w:val="2"/>
        </w:numPr>
        <w:spacing w:after="120" w:line="290"/>
      </w:pPr>
      <w:r>
        <w:rPr>
          <w:rFonts w:ascii="Calibri" w:cs="Calibri" w:eastAsia="Calibri" w:hAnsi="Calibri"/>
          <w:color w:val="1E2A38"/>
          <w:sz w:val="22"/>
          <w:szCs w:val="22"/>
        </w:rPr>
        <w:t xml:space="preserve">Transaction-monitoring rule evaluation (structuring, velocity, high-risk corridor, etc.).</w:t>
      </w:r>
    </w:p>
    <w:p>
      <w:pPr>
        <w:pStyle w:val="ListParagraph"/>
        <w:numPr>
          <w:ilvl w:val="0"/>
          <w:numId w:val="2"/>
        </w:numPr>
        <w:spacing w:after="120" w:line="290"/>
      </w:pPr>
      <w:r>
        <w:rPr>
          <w:rFonts w:ascii="Calibri" w:cs="Calibri" w:eastAsia="Calibri" w:hAnsi="Calibri"/>
          <w:color w:val="1E2A38"/>
          <w:sz w:val="22"/>
          <w:szCs w:val="22"/>
        </w:rPr>
        <w:t xml:space="preserve">Case management: open, investigate, escalate, disposition with maker-checker on high severity.</w:t>
      </w:r>
    </w:p>
    <w:p>
      <w:pPr>
        <w:pStyle w:val="ListParagraph"/>
        <w:numPr>
          <w:ilvl w:val="0"/>
          <w:numId w:val="2"/>
        </w:numPr>
        <w:spacing w:after="120" w:line="290"/>
      </w:pPr>
      <w:r>
        <w:rPr>
          <w:rFonts w:ascii="Calibri" w:cs="Calibri" w:eastAsia="Calibri" w:hAnsi="Calibri"/>
          <w:color w:val="1E2A38"/>
          <w:sz w:val="22"/>
          <w:szCs w:val="22"/>
        </w:rPr>
        <w:t xml:space="preserve">List-scope management per market via the compliance pack (UN, OFAC + domestic lists).</w:t>
      </w:r>
    </w:p>
    <w:p>
      <w:pPr>
        <w:pStyle w:val="ListParagraph"/>
        <w:numPr>
          <w:ilvl w:val="0"/>
          <w:numId w:val="2"/>
        </w:numPr>
        <w:spacing w:after="120" w:line="290"/>
      </w:pPr>
      <w:r>
        <w:rPr>
          <w:rFonts w:ascii="Calibri" w:cs="Calibri" w:eastAsia="Calibri" w:hAnsi="Calibri"/>
          <w:color w:val="1E2A38"/>
          <w:sz w:val="22"/>
          <w:szCs w:val="22"/>
        </w:rPr>
        <w:t xml:space="preserve">Audit-grade retention of every screening result with the list version used.</w:t>
      </w:r>
    </w:p>
    <w:p>
      <w:pPr>
        <w:pStyle w:val="Heading2"/>
        <w:spacing w:after="160" w:before="260"/>
      </w:pPr>
      <w:r>
        <w:rPr>
          <w:rFonts w:ascii="Calibri" w:cs="Calibri" w:eastAsia="Calibri" w:hAnsi="Calibri"/>
          <w:b/>
          <w:bCs/>
          <w:color w:val="0A7E79"/>
          <w:sz w:val="25"/>
          <w:szCs w:val="25"/>
        </w:rPr>
        <w:t xml:space="preserve">2.2 Explicitly out of scope</w:t>
      </w:r>
    </w:p>
    <w:p>
      <w:pPr>
        <w:pStyle w:val="ListParagraph"/>
        <w:numPr>
          <w:ilvl w:val="0"/>
          <w:numId w:val="2"/>
        </w:numPr>
        <w:spacing w:after="120" w:line="290"/>
      </w:pPr>
      <w:r>
        <w:rPr>
          <w:rFonts w:ascii="Calibri" w:cs="Calibri" w:eastAsia="Calibri" w:hAnsi="Calibri"/>
          <w:color w:val="1E2A38"/>
          <w:sz w:val="22"/>
          <w:szCs w:val="22"/>
        </w:rPr>
        <w:t xml:space="preserve">Sourcing/refreshing list data (Screening adapter, 15).</w:t>
      </w:r>
    </w:p>
    <w:p>
      <w:pPr>
        <w:pStyle w:val="ListParagraph"/>
        <w:numPr>
          <w:ilvl w:val="0"/>
          <w:numId w:val="2"/>
        </w:numPr>
        <w:spacing w:after="120" w:line="290"/>
      </w:pPr>
      <w:r>
        <w:rPr>
          <w:rFonts w:ascii="Calibri" w:cs="Calibri" w:eastAsia="Calibri" w:hAnsi="Calibri"/>
          <w:color w:val="1E2A38"/>
          <w:sz w:val="22"/>
          <w:szCs w:val="22"/>
        </w:rPr>
        <w:t xml:space="preserve">Generating goAML/STR filings (Compliance Reporting, 08).</w:t>
      </w:r>
    </w:p>
    <w:p>
      <w:pPr>
        <w:pStyle w:val="ListParagraph"/>
        <w:numPr>
          <w:ilvl w:val="0"/>
          <w:numId w:val="2"/>
        </w:numPr>
        <w:spacing w:after="120" w:line="290"/>
      </w:pPr>
      <w:r>
        <w:rPr>
          <w:rFonts w:ascii="Calibri" w:cs="Calibri" w:eastAsia="Calibri" w:hAnsi="Calibri"/>
          <w:color w:val="1E2A38"/>
          <w:sz w:val="22"/>
          <w:szCs w:val="22"/>
        </w:rPr>
        <w:t xml:space="preserve">Customer risk tiering (Identity, 02) — though screening signals feed it.</w:t>
      </w:r>
    </w:p>
    <w:p>
      <w:pPr>
        <w:pStyle w:val="ListParagraph"/>
        <w:numPr>
          <w:ilvl w:val="0"/>
          <w:numId w:val="2"/>
        </w:numPr>
        <w:spacing w:after="120" w:line="290"/>
      </w:pPr>
      <w:r>
        <w:rPr>
          <w:rFonts w:ascii="Calibri" w:cs="Calibri" w:eastAsia="Calibri" w:hAnsi="Calibri"/>
          <w:color w:val="1E2A38"/>
          <w:sz w:val="22"/>
          <w:szCs w:val="22"/>
        </w:rPr>
        <w:t xml:space="preserve">Blocking payments directly — it returns a decision; Payments (05) enforces it.</w:t>
      </w:r>
    </w:p>
    <w:p>
      <w:pPr>
        <w:pStyle w:val="Heading1"/>
        <w:spacing w:after="200" w:before="340"/>
      </w:pPr>
      <w:r>
        <w:rPr>
          <w:rFonts w:ascii="Calibri" w:cs="Calibri" w:eastAsia="Calibri" w:hAnsi="Calibri"/>
          <w:b/>
          <w:bCs/>
          <w:color w:val="0B1F3A"/>
          <w:sz w:val="30"/>
          <w:szCs w:val="30"/>
        </w:rPr>
        <w:t xml:space="preserve">3. Feature Catalogue (MoSCoW)</w:t>
      </w:r>
    </w:p>
    <w:p>
      <w:pPr>
        <w:spacing w:after="160" w:line="300"/>
      </w:pPr>
      <w:r>
        <w:rPr>
          <w:rFonts w:ascii="Calibri" w:cs="Calibri" w:eastAsia="Calibri" w:hAnsi="Calibri"/>
          <w:color w:val="1E2A38"/>
          <w:sz w:val="22"/>
          <w:szCs w:val="22"/>
        </w:rPr>
        <w:t xml:space="preserve">Features grouped by capability area. Priority uses MoSCoW: Must = required for the Pakistan pilot; Should = needed for a complete first release; Could = valuable later; Won't = explicitly deferred (recorded so it is a decision, not an omission).</w:t>
      </w:r>
    </w:p>
    <w:p>
      <w:pPr>
        <w:pStyle w:val="Heading2"/>
        <w:spacing w:after="160" w:before="260"/>
      </w:pPr>
      <w:r>
        <w:rPr>
          <w:rFonts w:ascii="Calibri" w:cs="Calibri" w:eastAsia="Calibri" w:hAnsi="Calibri"/>
          <w:b/>
          <w:bCs/>
          <w:color w:val="0A7E79"/>
          <w:sz w:val="25"/>
          <w:szCs w:val="25"/>
        </w:rPr>
        <w:t xml:space="preserve">3.1 Screening</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Real-time entity screening</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Screen a customer/counterparty synchronously; return hits + score + list version</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Transaction screening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Screen both parties + corridor inside the send-money saga</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Batch / periodic re-screening</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Re-screen the customer base when lists update</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Fuzzy &amp; transliteration matching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Handle name variants incl. Urdu/Arabic transliteration</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SC5</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Configurable match threshold</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Below threshold auto-clears; above opens a case — from the pack</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SC6</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Adverse-media screening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Screen against adverse-media sources where the pack requires</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bl>
    <w:p>
      <w:pPr>
        <w:pStyle w:val="Heading2"/>
        <w:spacing w:after="160" w:before="260"/>
      </w:pPr>
      <w:r>
        <w:rPr>
          <w:rFonts w:ascii="Calibri" w:cs="Calibri" w:eastAsia="Calibri" w:hAnsi="Calibri"/>
          <w:b/>
          <w:bCs/>
          <w:color w:val="0A7E79"/>
          <w:sz w:val="25"/>
          <w:szCs w:val="25"/>
        </w:rPr>
        <w:t xml:space="preserve">3.2 Transaction monitoring</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TM1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Rule/scenario evaluation</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Evaluate pack-versioned monitoring rules (structuring, velocity…)</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TM2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Decision-table rule engine</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Author rules as versioned decision tables, not code</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TM3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Corridor-risk scenarios</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Higher scrutiny on high-risk corridors</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TM4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Behavioural baselining</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Flag deviations from a customer's own pattern</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Could</w:t>
            </w:r>
          </w:p>
        </w:tc>
      </w:tr>
    </w:tbl>
    <w:p>
      <w:pPr>
        <w:pStyle w:val="Heading2"/>
        <w:spacing w:after="160" w:before="260"/>
      </w:pPr>
      <w:r>
        <w:rPr>
          <w:rFonts w:ascii="Calibri" w:cs="Calibri" w:eastAsia="Calibri" w:hAnsi="Calibri"/>
          <w:b/>
          <w:bCs/>
          <w:color w:val="0A7E79"/>
          <w:sz w:val="25"/>
          <w:szCs w:val="25"/>
        </w:rPr>
        <w:t xml:space="preserve">3.3 Case management</w:t>
      </w:r>
    </w:p>
    <w:tbl>
      <w:tblPr>
        <w:tblW w:type="dxa" w:w="9000"/>
        <w:tblBorders>
          <w:top w:val="single" w:color="D8E2E8" w:sz="4"/>
          <w:left w:val="single" w:color="D8E2E8" w:sz="4"/>
          <w:bottom w:val="single" w:color="D8E2E8" w:sz="4"/>
          <w:right w:val="single" w:color="D8E2E8" w:sz="4"/>
          <w:insideH w:val="single" w:color="D8E2E8" w:sz="4"/>
          <w:insideV w:val="single" w:color="D8E2E8" w:sz="4"/>
        </w:tblBorders>
      </w:tblPr>
      <w:tblGrid>
        <w:gridCol w:w="650"/>
        <w:gridCol w:w="2600"/>
        <w:gridCol w:w="4550"/>
        <w:gridCol w:w="1200"/>
      </w:tblGrid>
      <w:tr>
        <w:trPr>
          <w:tblHeader/>
        </w:trPr>
        <w:tc>
          <w:tcPr>
            <w:tcW w:type="dxa" w:w="6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t>
            </w:r>
          </w:p>
        </w:tc>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Feature</w:t>
            </w:r>
          </w:p>
        </w:tc>
        <w:tc>
          <w:tcPr>
            <w:tcW w:type="dxa" w:w="4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What it does</w:t>
            </w:r>
          </w:p>
        </w:tc>
        <w:tc>
          <w:tcPr>
            <w:tcW w:type="dxa" w:w="12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Priority</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CM1</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Case queue &amp; assignment</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Open cases from hits/rules; assign to investigators</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CM2</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Investigation workflow</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OPEN→INVESTIGATING→ESCALATED→CLEARED/CLOSED</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CM3</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Maker-checker disposition</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Two-person sign-off on high-severity dispositions</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Must</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CM4</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Investigator search (OpenSearch)</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Fast case/entity search for investigators</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CM5</w:t>
            </w:r>
          </w:p>
        </w:tc>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SLA &amp; ageing alerts</w:t>
            </w:r>
          </w:p>
        </w:tc>
        <w:tc>
          <w:tcPr>
            <w:tcW w:type="dxa" w:w="4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Alert on cases breaching disposition SLA</w:t>
            </w:r>
          </w:p>
        </w:tc>
        <w:tc>
          <w:tcPr>
            <w:tcW w:type="dxa" w:w="12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Should</w:t>
            </w:r>
          </w:p>
        </w:tc>
      </w:tr>
      <w:tr>
        <w:tc>
          <w:tcPr>
            <w:tcW w:type="dxa" w:w="6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CM6</w:t>
            </w:r>
          </w:p>
        </w:tc>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Case linking &amp; network view</w:t>
            </w:r>
          </w:p>
        </w:tc>
        <w:tc>
          <w:tcPr>
            <w:tcW w:type="dxa" w:w="4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Link related cases/entities</w:t>
            </w:r>
          </w:p>
        </w:tc>
        <w:tc>
          <w:tcPr>
            <w:tcW w:type="dxa" w:w="12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Could</w:t>
            </w:r>
          </w:p>
        </w:tc>
      </w:tr>
    </w:tbl>
    <w:p>
      <w:pPr>
        <w:pStyle w:val="Heading1"/>
        <w:spacing w:after="200" w:before="340"/>
      </w:pPr>
      <w:r>
        <w:rPr>
          <w:rFonts w:ascii="Calibri" w:cs="Calibri" w:eastAsia="Calibri" w:hAnsi="Calibri"/>
          <w:b/>
          <w:bCs/>
          <w:color w:val="0B1F3A"/>
          <w:sz w:val="30"/>
          <w:szCs w:val="30"/>
        </w:rPr>
        <w:t xml:space="preserve">4. Functional Requirements</w:t>
      </w:r>
    </w:p>
    <w:p>
      <w:pPr>
        <w:pStyle w:val="ListParagraph"/>
        <w:numPr>
          <w:ilvl w:val="0"/>
          <w:numId w:val="2"/>
        </w:numPr>
        <w:spacing w:after="120" w:line="290"/>
      </w:pPr>
      <w:r>
        <w:rPr>
          <w:rFonts w:ascii="Calibri" w:cs="Calibri" w:eastAsia="Calibri" w:hAnsi="Calibri"/>
          <w:color w:val="1E2A38"/>
          <w:sz w:val="22"/>
          <w:szCs w:val="22"/>
        </w:rPr>
        <w:t xml:space="preserve">A screening timeout, circuit-open or provider error returns HOLD and queues for review — never CLEAR (fail-safe closed).</w:t>
      </w:r>
    </w:p>
    <w:p>
      <w:pPr>
        <w:pStyle w:val="ListParagraph"/>
        <w:numPr>
          <w:ilvl w:val="0"/>
          <w:numId w:val="2"/>
        </w:numPr>
        <w:spacing w:after="120" w:line="290"/>
      </w:pPr>
      <w:r>
        <w:rPr>
          <w:rFonts w:ascii="Calibri" w:cs="Calibri" w:eastAsia="Calibri" w:hAnsi="Calibri"/>
          <w:color w:val="1E2A38"/>
          <w:sz w:val="22"/>
          <w:szCs w:val="22"/>
        </w:rPr>
        <w:t xml:space="preserve">Every screening result stores the exact list version used, enabling audit replay.</w:t>
      </w:r>
    </w:p>
    <w:p>
      <w:pPr>
        <w:pStyle w:val="ListParagraph"/>
        <w:numPr>
          <w:ilvl w:val="0"/>
          <w:numId w:val="2"/>
        </w:numPr>
        <w:spacing w:after="120" w:line="290"/>
      </w:pPr>
      <w:r>
        <w:rPr>
          <w:rFonts w:ascii="Calibri" w:cs="Calibri" w:eastAsia="Calibri" w:hAnsi="Calibri"/>
          <w:color w:val="1E2A38"/>
          <w:sz w:val="22"/>
          <w:szCs w:val="22"/>
        </w:rPr>
        <w:t xml:space="preserve">Monitoring rules are pack-versioned and evaluated by a pure engine with no side effects.</w:t>
      </w:r>
    </w:p>
    <w:p>
      <w:pPr>
        <w:pStyle w:val="ListParagraph"/>
        <w:numPr>
          <w:ilvl w:val="0"/>
          <w:numId w:val="2"/>
        </w:numPr>
        <w:spacing w:after="120" w:line="290"/>
      </w:pPr>
      <w:r>
        <w:rPr>
          <w:rFonts w:ascii="Calibri" w:cs="Calibri" w:eastAsia="Calibri" w:hAnsi="Calibri"/>
          <w:color w:val="1E2A38"/>
          <w:sz w:val="22"/>
          <w:szCs w:val="22"/>
        </w:rPr>
        <w:t xml:space="preserve">High-severity case dispositions require a different checker than the maker.</w:t>
      </w:r>
    </w:p>
    <w:p>
      <w:pPr>
        <w:pStyle w:val="ListParagraph"/>
        <w:numPr>
          <w:ilvl w:val="0"/>
          <w:numId w:val="2"/>
        </w:numPr>
        <w:spacing w:after="120" w:line="290"/>
      </w:pPr>
      <w:r>
        <w:rPr>
          <w:rFonts w:ascii="Calibri" w:cs="Calibri" w:eastAsia="Calibri" w:hAnsi="Calibri"/>
          <w:color w:val="1E2A38"/>
          <w:sz w:val="22"/>
          <w:szCs w:val="22"/>
        </w:rPr>
        <w:t xml:space="preserve">List scope per market comes from the pack (minimum: UN Consolidated, OFAC SDN, plus NACTA / UAE local list / KSA designated persons).</w:t>
      </w:r>
    </w:p>
    <w:p>
      <w:pPr>
        <w:pStyle w:val="ListParagraph"/>
        <w:numPr>
          <w:ilvl w:val="0"/>
          <w:numId w:val="2"/>
        </w:numPr>
        <w:spacing w:after="120" w:line="290"/>
      </w:pPr>
      <w:r>
        <w:rPr>
          <w:rFonts w:ascii="Calibri" w:cs="Calibri" w:eastAsia="Calibri" w:hAnsi="Calibri"/>
          <w:color w:val="1E2A38"/>
          <w:sz w:val="22"/>
          <w:szCs w:val="22"/>
        </w:rPr>
        <w:t xml:space="preserve">Case data is DB-/schema-isolated per tenant regardless of general tier.</w:t>
      </w:r>
    </w:p>
    <w:p>
      <w:pPr>
        <w:pStyle w:val="Heading1"/>
        <w:spacing w:after="200" w:before="340"/>
      </w:pPr>
      <w:r>
        <w:rPr>
          <w:rFonts w:ascii="Calibri" w:cs="Calibri" w:eastAsia="Calibri" w:hAnsi="Calibri"/>
          <w:b/>
          <w:bCs/>
          <w:color w:val="0B1F3A"/>
          <w:sz w:val="30"/>
          <w:szCs w:val="30"/>
        </w:rPr>
        <w:t xml:space="preserve">5. Non-Functional Requirements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600"/>
        <w:gridCol w:w="6750"/>
      </w:tblGrid>
      <w:tr>
        <w:trPr>
          <w:tblHeader/>
        </w:trPr>
        <w:tc>
          <w:tcPr>
            <w:tcW w:type="dxa" w:w="26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Attribute</w:t>
            </w:r>
          </w:p>
        </w:tc>
        <w:tc>
          <w:tcPr>
            <w:tcW w:type="dxa" w:w="67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Target / requirement</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Real-time screen latency</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p99 &lt; 700 ms excluding the external provider call</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False-negative tolerance</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Zero on mandatory lists — a miss is a P1 incident</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Retention</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Screening results &amp; cases retained per pack (typically 5–10 years)</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Availability</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Tier-critical: if screening is down, money movement halts (by design)</w:t>
            </w:r>
          </w:p>
        </w:tc>
      </w:tr>
      <w:tr>
        <w:tc>
          <w:tcPr>
            <w:tcW w:type="dxa" w:w="26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Isolation</w:t>
            </w:r>
          </w:p>
        </w:tc>
        <w:tc>
          <w:tcPr>
            <w:tcW w:type="dxa" w:w="67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Case/screening data tenant-isolated; cross-tenant impossible</w:t>
            </w:r>
          </w:p>
        </w:tc>
      </w:tr>
      <w:tr>
        <w:tc>
          <w:tcPr>
            <w:tcW w:type="dxa" w:w="26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Throughput</w:t>
            </w:r>
          </w:p>
        </w:tc>
        <w:tc>
          <w:tcPr>
            <w:tcW w:type="dxa" w:w="67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Sized to peak transfer + onboarding volume × 3</w:t>
            </w:r>
          </w:p>
        </w:tc>
      </w:tr>
    </w:tbl>
    <w:p>
      <w:pPr>
        <w:pStyle w:val="Heading1"/>
        <w:spacing w:after="200" w:before="340"/>
      </w:pPr>
      <w:r>
        <w:rPr>
          <w:rFonts w:ascii="Calibri" w:cs="Calibri" w:eastAsia="Calibri" w:hAnsi="Calibri"/>
          <w:b/>
          <w:bCs/>
          <w:color w:val="0B1F3A"/>
          <w:sz w:val="30"/>
          <w:szCs w:val="30"/>
        </w:rPr>
        <w:t xml:space="preserve">6. Data Owned</w:t>
      </w:r>
    </w:p>
    <w:p>
      <w:pPr>
        <w:spacing w:after="160" w:line="300"/>
      </w:pPr>
      <w:r>
        <w:rPr>
          <w:rFonts w:ascii="Calibri" w:cs="Calibri" w:eastAsia="Calibri" w:hAnsi="Calibri"/>
          <w:color w:val="1E2A38"/>
          <w:sz w:val="22"/>
          <w:szCs w:val="22"/>
        </w:rPr>
        <w:t xml:space="preserve">This component is the system of record for the following (all rows tenant-scoped; app_id present where the component is a shared adapter):</w:t>
      </w:r>
    </w:p>
    <w:p>
      <w:pPr>
        <w:pStyle w:val="ListParagraph"/>
        <w:numPr>
          <w:ilvl w:val="0"/>
          <w:numId w:val="2"/>
        </w:numPr>
        <w:spacing w:after="120" w:line="290"/>
      </w:pPr>
      <w:r>
        <w:rPr>
          <w:rFonts w:ascii="Calibri" w:cs="Calibri" w:eastAsia="Calibri" w:hAnsi="Calibri"/>
          <w:color w:val="1E2A38"/>
          <w:sz w:val="22"/>
          <w:szCs w:val="22"/>
        </w:rPr>
        <w:t xml:space="preserve">Screening requests &amp; results (with list version) — audit record.</w:t>
      </w:r>
    </w:p>
    <w:p>
      <w:pPr>
        <w:pStyle w:val="ListParagraph"/>
        <w:numPr>
          <w:ilvl w:val="0"/>
          <w:numId w:val="2"/>
        </w:numPr>
        <w:spacing w:after="120" w:line="290"/>
      </w:pPr>
      <w:r>
        <w:rPr>
          <w:rFonts w:ascii="Calibri" w:cs="Calibri" w:eastAsia="Calibri" w:hAnsi="Calibri"/>
          <w:color w:val="1E2A38"/>
          <w:sz w:val="22"/>
          <w:szCs w:val="22"/>
        </w:rPr>
        <w:t xml:space="preserve">Cases — status, severity, assignee, trigger, disposition, approver.</w:t>
      </w:r>
    </w:p>
    <w:p>
      <w:pPr>
        <w:pStyle w:val="ListParagraph"/>
        <w:numPr>
          <w:ilvl w:val="0"/>
          <w:numId w:val="2"/>
        </w:numPr>
        <w:spacing w:after="120" w:line="290"/>
      </w:pPr>
      <w:r>
        <w:rPr>
          <w:rFonts w:ascii="Calibri" w:cs="Calibri" w:eastAsia="Calibri" w:hAnsi="Calibri"/>
          <w:color w:val="1E2A38"/>
          <w:sz w:val="22"/>
          <w:szCs w:val="22"/>
        </w:rPr>
        <w:t xml:space="preserve">Monitoring rules — pack-versioned decision tables.</w:t>
      </w:r>
    </w:p>
    <w:p>
      <w:pPr>
        <w:pStyle w:val="ListParagraph"/>
        <w:numPr>
          <w:ilvl w:val="0"/>
          <w:numId w:val="2"/>
        </w:numPr>
        <w:spacing w:after="120" w:line="290"/>
      </w:pPr>
      <w:r>
        <w:rPr>
          <w:rFonts w:ascii="Calibri" w:cs="Calibri" w:eastAsia="Calibri" w:hAnsi="Calibri"/>
          <w:color w:val="1E2A38"/>
          <w:sz w:val="22"/>
          <w:szCs w:val="22"/>
        </w:rPr>
        <w:t xml:space="preserve">OpenSearch case index (derived, rebuildable from events).</w:t>
      </w:r>
    </w:p>
    <w:p>
      <w:pPr>
        <w:pStyle w:val="Heading1"/>
        <w:spacing w:after="200" w:before="340"/>
      </w:pPr>
      <w:r>
        <w:rPr>
          <w:rFonts w:ascii="Calibri" w:cs="Calibri" w:eastAsia="Calibri" w:hAnsi="Calibri"/>
          <w:b/>
          <w:bCs/>
          <w:color w:val="0B1F3A"/>
          <w:sz w:val="30"/>
          <w:szCs w:val="30"/>
        </w:rPr>
        <w:t xml:space="preserve">7. Interfaces</w:t>
      </w:r>
    </w:p>
    <w:p>
      <w:pPr>
        <w:pStyle w:val="Heading2"/>
        <w:spacing w:after="160" w:before="260"/>
      </w:pPr>
      <w:r>
        <w:rPr>
          <w:rFonts w:ascii="Calibri" w:cs="Calibri" w:eastAsia="Calibri" w:hAnsi="Calibri"/>
          <w:b/>
          <w:bCs/>
          <w:color w:val="0A7E79"/>
          <w:sz w:val="25"/>
          <w:szCs w:val="25"/>
        </w:rPr>
        <w:t xml:space="preserve">7.1 APIs / methods exposed</w:t>
      </w:r>
    </w:p>
    <w:p>
      <w:pPr>
        <w:pStyle w:val="ListParagraph"/>
        <w:numPr>
          <w:ilvl w:val="0"/>
          <w:numId w:val="2"/>
        </w:numPr>
        <w:spacing w:after="120" w:line="290"/>
      </w:pPr>
      <w:r>
        <w:rPr>
          <w:rFonts w:ascii="Calibri" w:cs="Calibri" w:eastAsia="Calibri" w:hAnsi="Calibri"/>
          <w:color w:val="1E2A38"/>
          <w:sz w:val="22"/>
          <w:szCs w:val="22"/>
        </w:rPr>
        <w:t xml:space="preserve">POST /v1/screening/entities · POST /v1/screening/transactions.</w:t>
      </w:r>
    </w:p>
    <w:p>
      <w:pPr>
        <w:pStyle w:val="ListParagraph"/>
        <w:numPr>
          <w:ilvl w:val="0"/>
          <w:numId w:val="2"/>
        </w:numPr>
        <w:spacing w:after="120" w:line="290"/>
      </w:pPr>
      <w:r>
        <w:rPr>
          <w:rFonts w:ascii="Calibri" w:cs="Calibri" w:eastAsia="Calibri" w:hAnsi="Calibri"/>
          <w:color w:val="1E2A38"/>
          <w:sz w:val="22"/>
          <w:szCs w:val="22"/>
        </w:rPr>
        <w:t xml:space="preserve">GET /v1/cases/{id} · POST /v1/cases/{id}/disposition (maker-checker on high).</w:t>
      </w:r>
    </w:p>
    <w:p>
      <w:pPr>
        <w:pStyle w:val="Heading2"/>
        <w:spacing w:after="160" w:before="260"/>
      </w:pPr>
      <w:r>
        <w:rPr>
          <w:rFonts w:ascii="Calibri" w:cs="Calibri" w:eastAsia="Calibri" w:hAnsi="Calibri"/>
          <w:b/>
          <w:bCs/>
          <w:color w:val="0A7E79"/>
          <w:sz w:val="25"/>
          <w:szCs w:val="25"/>
        </w:rPr>
        <w:t xml:space="preserve">7.2 Events published / consumed</w:t>
      </w:r>
    </w:p>
    <w:p>
      <w:pPr>
        <w:pStyle w:val="ListParagraph"/>
        <w:numPr>
          <w:ilvl w:val="0"/>
          <w:numId w:val="2"/>
        </w:numPr>
        <w:spacing w:after="120" w:line="290"/>
      </w:pPr>
      <w:r>
        <w:rPr>
          <w:rFonts w:ascii="Calibri" w:cs="Calibri" w:eastAsia="Calibri" w:hAnsi="Calibri"/>
          <w:color w:val="1E2A38"/>
          <w:sz w:val="22"/>
          <w:szCs w:val="22"/>
        </w:rPr>
        <w:t xml:space="preserve">Publishes: screening.case.opened.v1, screening.case.resolved.v1, screening.transaction.flagged.v1.</w:t>
      </w:r>
    </w:p>
    <w:p>
      <w:pPr>
        <w:pStyle w:val="ListParagraph"/>
        <w:numPr>
          <w:ilvl w:val="0"/>
          <w:numId w:val="2"/>
        </w:numPr>
        <w:spacing w:after="120" w:line="290"/>
      </w:pPr>
      <w:r>
        <w:rPr>
          <w:rFonts w:ascii="Calibri" w:cs="Calibri" w:eastAsia="Calibri" w:hAnsi="Calibri"/>
          <w:color w:val="1E2A38"/>
          <w:sz w:val="22"/>
          <w:szCs w:val="22"/>
        </w:rPr>
        <w:t xml:space="preserve">Consumes: identity.customer.registered.v1, payments.transfer.initiated.v1.</w:t>
      </w:r>
    </w:p>
    <w:p>
      <w:pPr>
        <w:pStyle w:val="Heading1"/>
        <w:spacing w:after="200" w:before="340"/>
      </w:pPr>
      <w:r>
        <w:rPr>
          <w:rFonts w:ascii="Calibri" w:cs="Calibri" w:eastAsia="Calibri" w:hAnsi="Calibri"/>
          <w:b/>
          <w:bCs/>
          <w:color w:val="0B1F3A"/>
          <w:sz w:val="30"/>
          <w:szCs w:val="30"/>
        </w:rPr>
        <w:t xml:space="preserve">8. Dependencies</w:t>
      </w:r>
    </w:p>
    <w:tbl>
      <w:tblPr>
        <w:tblW w:type="dxa" w:w="9350"/>
        <w:tblBorders>
          <w:top w:val="single" w:color="D8E2E8" w:sz="4"/>
          <w:left w:val="single" w:color="D8E2E8" w:sz="4"/>
          <w:bottom w:val="single" w:color="D8E2E8" w:sz="4"/>
          <w:right w:val="single" w:color="D8E2E8" w:sz="4"/>
          <w:insideH w:val="single" w:color="D8E2E8" w:sz="4"/>
          <w:insideV w:val="single" w:color="D8E2E8" w:sz="4"/>
        </w:tblBorders>
      </w:tblPr>
      <w:tblGrid>
        <w:gridCol w:w="2500"/>
        <w:gridCol w:w="3550"/>
        <w:gridCol w:w="3300"/>
      </w:tblGrid>
      <w:tr>
        <w:trPr>
          <w:tblHeader/>
        </w:trPr>
        <w:tc>
          <w:tcPr>
            <w:tcW w:type="dxa" w:w="25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Depends on</w:t>
            </w:r>
          </w:p>
        </w:tc>
        <w:tc>
          <w:tcPr>
            <w:tcW w:type="dxa" w:w="355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For what</w:t>
            </w:r>
          </w:p>
        </w:tc>
        <w:tc>
          <w:tcPr>
            <w:tcW w:type="dxa" w:w="3300"/>
            <w:shd w:fill="0B1F3A" w:val="clear"/>
            <w:tcMar>
              <w:top w:type="dxa" w:w="90"/>
              <w:left w:type="dxa" w:w="130"/>
              <w:bottom w:type="dxa" w:w="90"/>
              <w:right w:type="dxa" w:w="130"/>
            </w:tcMar>
          </w:tcPr>
          <w:p>
            <w:pPr>
              <w:spacing w:after="0" w:line="260"/>
            </w:pPr>
            <w:r>
              <w:rPr>
                <w:rFonts w:ascii="Calibri" w:cs="Calibri" w:eastAsia="Calibri" w:hAnsi="Calibri"/>
                <w:b/>
                <w:bCs/>
                <w:color w:val="FFFFFF"/>
                <w:sz w:val="20"/>
                <w:szCs w:val="20"/>
              </w:rPr>
              <w:t xml:space="preserve">Failure behaviour if unavailable</w:t>
            </w:r>
          </w:p>
        </w:tc>
      </w:tr>
      <w:tr>
        <w:tc>
          <w:tcPr>
            <w:tcW w:type="dxa" w:w="25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Screening adapter (15)</w:t>
            </w:r>
          </w:p>
        </w:tc>
        <w:tc>
          <w:tcPr>
            <w:tcW w:type="dxa" w:w="3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Sanctions/PEP/adverse-media provider calls</w:t>
            </w:r>
          </w:p>
        </w:tc>
        <w:tc>
          <w:tcPr>
            <w:tcW w:type="dxa" w:w="3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HOLD + queue; never CLEAR on error</w:t>
            </w:r>
          </w:p>
        </w:tc>
      </w:tr>
      <w:tr>
        <w:tc>
          <w:tcPr>
            <w:tcW w:type="dxa" w:w="25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Control Plane (12)</w:t>
            </w:r>
          </w:p>
        </w:tc>
        <w:tc>
          <w:tcPr>
            <w:tcW w:type="dxa" w:w="355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Compliance pack: list scope, thresholds, rules</w:t>
            </w:r>
          </w:p>
        </w:tc>
        <w:tc>
          <w:tcPr>
            <w:tcW w:type="dxa" w:w="3300"/>
            <w:shd w:fill="F4F8FA"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Fail-safe on cached pack</w:t>
            </w:r>
          </w:p>
        </w:tc>
      </w:tr>
      <w:tr>
        <w:tc>
          <w:tcPr>
            <w:tcW w:type="dxa" w:w="25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Persistence (14)</w:t>
            </w:r>
          </w:p>
        </w:tc>
        <w:tc>
          <w:tcPr>
            <w:tcW w:type="dxa" w:w="355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Tenant-isolated case/result storage</w:t>
            </w:r>
          </w:p>
        </w:tc>
        <w:tc>
          <w:tcPr>
            <w:tcW w:type="dxa" w:w="3300"/>
            <w:shd w:fill="FFFFFF" w:val="clear"/>
            <w:tcMar>
              <w:top w:type="dxa" w:w="90"/>
              <w:left w:type="dxa" w:w="130"/>
              <w:bottom w:type="dxa" w:w="90"/>
              <w:right w:type="dxa" w:w="130"/>
            </w:tcMar>
          </w:tcPr>
          <w:p>
            <w:pPr>
              <w:spacing w:after="0" w:line="260"/>
            </w:pPr>
            <w:r>
              <w:rPr>
                <w:rFonts w:ascii="Calibri" w:cs="Calibri" w:eastAsia="Calibri" w:hAnsi="Calibri"/>
                <w:b w:val="false"/>
                <w:bCs w:val="false"/>
                <w:color w:val="1E2A38"/>
                <w:sz w:val="20"/>
                <w:szCs w:val="20"/>
              </w:rPr>
              <w:t xml:space="preserve">Request rejected without tenant context</w:t>
            </w:r>
          </w:p>
        </w:tc>
      </w:tr>
    </w:tbl>
    <w:p>
      <w:pPr>
        <w:pStyle w:val="Heading1"/>
        <w:spacing w:after="200" w:before="340"/>
      </w:pPr>
      <w:r>
        <w:rPr>
          <w:rFonts w:ascii="Calibri" w:cs="Calibri" w:eastAsia="Calibri" w:hAnsi="Calibri"/>
          <w:b/>
          <w:bCs/>
          <w:color w:val="0B1F3A"/>
          <w:sz w:val="30"/>
          <w:szCs w:val="30"/>
        </w:rPr>
        <w:t xml:space="preserve">9. Key Risks &amp; Controls</w:t>
      </w:r>
    </w:p>
    <w:p>
      <w:pPr>
        <w:pStyle w:val="ListParagraph"/>
        <w:numPr>
          <w:ilvl w:val="0"/>
          <w:numId w:val="2"/>
        </w:numPr>
        <w:spacing w:after="120" w:line="290"/>
      </w:pPr>
      <w:r>
        <w:rPr>
          <w:rFonts w:ascii="Calibri" w:cs="Calibri" w:eastAsia="Calibri" w:hAnsi="Calibri"/>
          <w:color w:val="1E2A38"/>
          <w:sz w:val="22"/>
          <w:szCs w:val="22"/>
        </w:rPr>
        <w:t xml:space="preserve">Failing open under load — controlled by fail-safe-closed HOLD behaviour and circuit breakers.</w:t>
      </w:r>
    </w:p>
    <w:p>
      <w:pPr>
        <w:pStyle w:val="ListParagraph"/>
        <w:numPr>
          <w:ilvl w:val="0"/>
          <w:numId w:val="2"/>
        </w:numPr>
        <w:spacing w:after="120" w:line="290"/>
      </w:pPr>
      <w:r>
        <w:rPr>
          <w:rFonts w:ascii="Calibri" w:cs="Calibri" w:eastAsia="Calibri" w:hAnsi="Calibri"/>
          <w:color w:val="1E2A38"/>
          <w:sz w:val="22"/>
          <w:szCs w:val="22"/>
        </w:rPr>
        <w:t xml:space="preserve">Stale lists — controlled by list-version stamping and freshness alarms from the adapter.</w:t>
      </w:r>
    </w:p>
    <w:p>
      <w:pPr>
        <w:pStyle w:val="ListParagraph"/>
        <w:numPr>
          <w:ilvl w:val="0"/>
          <w:numId w:val="2"/>
        </w:numPr>
        <w:spacing w:after="120" w:line="290"/>
      </w:pPr>
      <w:r>
        <w:rPr>
          <w:rFonts w:ascii="Calibri" w:cs="Calibri" w:eastAsia="Calibri" w:hAnsi="Calibri"/>
          <w:color w:val="1E2A38"/>
          <w:sz w:val="22"/>
          <w:szCs w:val="22"/>
        </w:rPr>
        <w:t xml:space="preserve">Missed sanctioned party — controlled by the fixture certification suite (known names → expected hits), blocking pack activation.</w:t>
      </w:r>
    </w:p>
    <w:tbl>
      <w:tblPr>
        <w:tblW w:type="dxa" w:w="9350"/>
        <w:tblBorders>
          <w:top w:val="single" w:color="B9770E" w:sz="6"/>
          <w:left w:val="single" w:color="B9770E" w:sz="18"/>
          <w:bottom w:val="single" w:color="B9770E" w:sz="6"/>
          <w:right w:val="single" w:color="B9770E" w:sz="6"/>
          <w:insideH w:val="single" w:color="B9770E" w:sz="6"/>
          <w:insideV w:val="single" w:color="B9770E" w:sz="6"/>
        </w:tblBorders>
      </w:tblPr>
      <w:tblGrid>
        <w:gridCol w:w="9350"/>
      </w:tblGrid>
      <w:tr>
        <w:tc>
          <w:tcPr>
            <w:tcW w:type="dxa" w:w="9350"/>
            <w:shd w:fill="FDEBD0" w:val="clear"/>
            <w:tcMar>
              <w:top w:type="dxa" w:w="130"/>
              <w:left w:type="dxa" w:w="170"/>
              <w:bottom w:type="dxa" w:w="130"/>
              <w:right w:type="dxa" w:w="170"/>
            </w:tcMar>
          </w:tcPr>
          <w:p>
            <w:pPr>
              <w:spacing w:after="0" w:line="290"/>
            </w:pPr>
            <w:r>
              <w:rPr>
                <w:rFonts w:ascii="Calibri" w:cs="Calibri" w:eastAsia="Calibri" w:hAnsi="Calibri"/>
                <w:b/>
                <w:bCs/>
                <w:color w:val="B9770E"/>
                <w:sz w:val="21"/>
                <w:szCs w:val="21"/>
              </w:rPr>
              <w:t xml:space="preserve">One gate, two apps.  </w:t>
            </w:r>
            <w:r>
              <w:rPr>
                <w:rFonts w:ascii="Calibri" w:cs="Calibri" w:eastAsia="Calibri" w:hAnsi="Calibri"/>
                <w:color w:val="1E2A38"/>
                <w:sz w:val="21"/>
                <w:szCs w:val="21"/>
              </w:rPr>
              <w:t xml:space="preserve">Banking transfers and takaful participant/claim flows share this single screening standard and one case queue — a core reason the shared-adapter platform reduces compliance risk.</w:t>
            </w:r>
          </w:p>
        </w:tc>
      </w:tr>
    </w:tbl>
    <w:sectPr>
      <w:headerReference w:type="default" r:id="rId7"/>
      <w:footerReference w:type="default" r:id="rId8"/>
      <w:pgSz w:w="12240" w:h="15840" w:orient="portrait"/>
      <w:pgMar w:top="120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Calibri" w:cs="Calibri" w:eastAsia="Calibri" w:hAnsi="Calibri"/>
        <w:color w:val="5B6B7A"/>
        <w:sz w:val="17"/>
        <w:szCs w:val="17"/>
      </w:rPr>
      <w:t xml:space="preserve">Confidential — Internal Use   ·   Page </w:t>
    </w:r>
    <w:r>
      <w:rPr>
        <w:rFonts w:ascii="Calibri" w:cs="Calibri" w:eastAsia="Calibri" w:hAnsi="Calibri"/>
        <w:color w:val="5B6B7A"/>
        <w:sz w:val="17"/>
        <w:szCs w:val="17"/>
      </w:rPr>
      <w:fldChar w:fldCharType="begin"/>
      <w:instrText xml:space="preserve">PAGE</w:instrText>
      <w:fldChar w:fldCharType="separate"/>
      <w:fldChar w:fldCharType="end"/>
    </w:r>
    <w:r>
      <w:rPr>
        <w:rFonts w:ascii="Calibri" w:cs="Calibri" w:eastAsia="Calibri" w:hAnsi="Calibri"/>
        <w:color w:val="5B6B7A"/>
        <w:sz w:val="17"/>
        <w:szCs w:val="17"/>
      </w:rPr>
      <w:t xml:space="preserve"> of </w:t>
    </w:r>
    <w:r>
      <w:rPr>
        <w:rFonts w:ascii="Calibri" w:cs="Calibri" w:eastAsia="Calibri" w:hAnsi="Calibri"/>
        <w:color w:val="5B6B7A"/>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right"/>
    </w:pPr>
    <w:r>
      <w:rPr>
        <w:rFonts w:ascii="Calibri" w:cs="Calibri" w:eastAsia="Calibri" w:hAnsi="Calibri"/>
        <w:color w:val="0A7E79"/>
        <w:sz w:val="17"/>
        <w:szCs w:val="17"/>
      </w:rPr>
      <w:t xml:space="preserve">Service 03 — Screening &amp; AML Service · Feature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460" w:hanging="23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E2A38"/>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2026-07-22T16:01:35.141Z</dcterms:created>
  <dcterms:modified xsi:type="dcterms:W3CDTF">2026-07-22T16:01:35.141Z</dcterms:modified>
</cp:coreProperties>
</file>

<file path=docProps/custom.xml><?xml version="1.0" encoding="utf-8"?>
<Properties xmlns="http://schemas.openxmlformats.org/officeDocument/2006/custom-properties" xmlns:vt="http://schemas.openxmlformats.org/officeDocument/2006/docPropsVTypes"/>
</file>