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40" w:before="700"/>
      </w:pPr>
      <w:r>
        <w:rPr>
          <w:rFonts w:ascii="Calibri" w:cs="Calibri" w:eastAsia="Calibri" w:hAnsi="Calibri"/>
          <w:b/>
          <w:bCs/>
          <w:color w:val="0A7E79"/>
          <w:sz w:val="21"/>
          <w:szCs w:val="21"/>
        </w:rPr>
        <w:t xml:space="preserve">FEATURE SPECIFICATION · SERVICE · Service 09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B1F3A"/>
          <w:sz w:val="52"/>
          <w:szCs w:val="52"/>
        </w:rPr>
        <w:t xml:space="preserve">Reconciliation Service — Feature Specification</w:t>
      </w:r>
    </w:p>
    <w:p>
      <w:pPr>
        <w:spacing w:after="200"/>
      </w:pPr>
      <w:r>
        <w:rPr>
          <w:rFonts w:ascii="Calibri" w:cs="Calibri" w:eastAsia="Calibri" w:hAnsi="Calibri"/>
          <w:b/>
          <w:bCs/>
          <w:color w:val="0A7E79"/>
          <w:sz w:val="27"/>
          <w:szCs w:val="27"/>
        </w:rPr>
        <w:t xml:space="preserve">Three-way match: ledger ↔ payments ↔ rail statements, with break management</w:t>
      </w:r>
    </w:p>
    <w:p>
      <w:pPr>
        <w:spacing w:after="420"/>
      </w:pPr>
      <w:r>
        <w:rPr>
          <w:rFonts w:ascii="Calibri" w:cs="Calibri" w:eastAsia="Calibri" w:hAnsi="Calibri"/>
          <w:i/>
          <w:iCs/>
          <w:color w:val="5B6B7A"/>
          <w:sz w:val="22"/>
          <w:szCs w:val="22"/>
        </w:rPr>
        <w:t xml:space="preserve">Proves the platform's books agree with the outside world, and resolves breaks only through the Ledger — never a data patch.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300"/>
        <w:gridCol w:w="7050"/>
      </w:tblGrid>
      <w:tr>
        <w:trPr>
          <w:tblHeader/>
        </w:trPr>
        <w:tc>
          <w:tcPr>
            <w:tcW w:type="dxa" w:w="2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Field</w:t>
            </w:r>
          </w:p>
        </w:tc>
        <w:tc>
          <w:tcPr>
            <w:tcW w:type="dxa" w:w="70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Details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Component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Reconciliation Service (Service 09)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Type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Domain / platform service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Runtime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NestJS 10 / TypeScript strict · PostgreSQL 16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Owning squad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&amp; Money Movement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Consumes / depends 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(04), Payout Rail adapter (19), Control Plane (12)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Consumed by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Finance/ops (via BFF), Compliance Reporting (08)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companion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09_reconciliation.design.md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Status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Design stage — nothing built yet; features below are the target scope to build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Version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1.0</w:t>
            </w:r>
          </w:p>
        </w:tc>
      </w:tr>
      <w:tr>
        <w:tc>
          <w:tcPr>
            <w:tcW w:type="dxa" w:w="2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Date</w:t>
            </w:r>
          </w:p>
        </w:tc>
        <w:tc>
          <w:tcPr>
            <w:tcW w:type="dxa" w:w="70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17 July 2026</w:t>
            </w:r>
          </w:p>
        </w:tc>
      </w:tr>
      <w:tr>
        <w:tc>
          <w:tcPr>
            <w:tcW w:type="dxa" w:w="2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Classification</w:t>
            </w:r>
          </w:p>
        </w:tc>
        <w:tc>
          <w:tcPr>
            <w:tcW w:type="dxa" w:w="70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1. Overview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service performs a three-way match between Ledger postings, Payments records and external rail statements (Raast, Aani, sarie, cross-border partners). Mismatches become breaks that are investigated and resolved — and every resolution goes through a Ledger reversal/adjustment, never a direct data edit. All amount comparison is in integer minor units.</w:t>
      </w:r>
    </w:p>
    <w:tbl>
      <w:tblPr>
        <w:tblW w:type="dxa" w:w="9350"/>
        <w:tblBorders>
          <w:top w:val="single" w:color="0A7E79" w:sz="6"/>
          <w:left w:val="single" w:color="0A7E79" w:sz="18"/>
          <w:bottom w:val="single" w:color="0A7E79" w:sz="6"/>
          <w:right w:val="single" w:color="0A7E79" w:sz="6"/>
          <w:insideH w:val="single" w:color="0A7E79" w:sz="6"/>
          <w:insideV w:val="single" w:color="0A7E79" w:sz="6"/>
        </w:tblBorders>
      </w:tblPr>
      <w:tblGrid>
        <w:gridCol w:w="9350"/>
      </w:tblGrid>
      <w:tr>
        <w:tc>
          <w:tcPr>
            <w:tcW w:type="dxa" w:w="9350"/>
            <w:shd w:fill="EAF2F8" w:val="clear"/>
            <w:tcMar>
              <w:top w:type="dxa" w:w="130"/>
              <w:left w:type="dxa" w:w="170"/>
              <w:bottom w:type="dxa" w:w="130"/>
              <w:right w:type="dxa" w:w="170"/>
            </w:tcMar>
          </w:tcPr>
          <w:p>
            <w:pPr>
              <w:spacing w:after="0" w:line="290"/>
            </w:pPr>
            <w:r>
              <w:rPr>
                <w:rFonts w:ascii="Calibri" w:cs="Calibri" w:eastAsia="Calibri" w:hAnsi="Calibri"/>
                <w:b/>
                <w:bCs/>
                <w:color w:val="0A7E79"/>
                <w:sz w:val="21"/>
                <w:szCs w:val="21"/>
              </w:rPr>
              <w:t xml:space="preserve">Single responsibility.  </w:t>
            </w:r>
            <w:r>
              <w:rPr>
                <w:rFonts w:ascii="Calibri" w:cs="Calibri" w:eastAsia="Calibri" w:hAnsi="Calibri"/>
                <w:color w:val="1E2A38"/>
                <w:sz w:val="21"/>
                <w:szCs w:val="21"/>
              </w:rPr>
              <w:t xml:space="preserve">It detects and manages discrepancies. It never edits balances to fix them — resolution is a Ledger adjustment with a linked reference.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2. Scope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2.1 In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Statement ingestion and parsing per rail (CSV / ISO 20022 camt.053).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Three-way matching with configurable tolerance.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Break lifecycle: open, investigate, resolve (via Ledger adjustment).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Break ageing and SLA alerting.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2.2 Explicitly out of scope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Posting the corrective entries itself (it calls Ledger, 04).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Executing payouts (Payout adapter, 19).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Producing regulatory reports (Compliance Reporting, 08).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3. Feature Catalogue (MoSCoW)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Features grouped by capability area. Priority uses MoSCoW: Must = required for the Pakistan pilot; Should = needed for a complete first release; Could = valuable later; Won't = explicitly deferred (recorded so it is a decision, not an omission).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3.1 Ingestion &amp; matching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Statement ingestion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Ingest rail statement files on schedule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Per-rail parsers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Parse Raast CSV, Aani/sarie camt.053, x-border formats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Three-way match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Match ledger ↔ payments ↔ statement lines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RM4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Configurable tolerance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Per-rail rounding/timing tolerance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</w:tbl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3.2 Break management</w:t>
      </w:r>
    </w:p>
    <w:tbl>
      <w:tblPr>
        <w:tblW w:type="dxa" w:w="900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650"/>
        <w:gridCol w:w="2600"/>
        <w:gridCol w:w="4550"/>
        <w:gridCol w:w="1200"/>
      </w:tblGrid>
      <w:tr>
        <w:trPr>
          <w:tblHeader/>
        </w:trPr>
        <w:tc>
          <w:tcPr>
            <w:tcW w:type="dxa" w:w="6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#</w:t>
            </w:r>
          </w:p>
        </w:tc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Feature</w:t>
            </w:r>
          </w:p>
        </w:tc>
        <w:tc>
          <w:tcPr>
            <w:tcW w:type="dxa" w:w="4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What it does</w:t>
            </w:r>
          </w:p>
        </w:tc>
        <w:tc>
          <w:tcPr>
            <w:tcW w:type="dxa" w:w="12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Priority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BK1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Break detection &amp; queue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Raise breaks for unmatched items; queue for ops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BK2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Investigation workflow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OPEN→INVESTIGATING→RESOLVED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BK3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Resolve via Ledger adjustment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Require a linked Ledger reversal/adjustment ref to resolve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Must</w:t>
            </w:r>
          </w:p>
        </w:tc>
      </w:tr>
      <w:tr>
        <w:tc>
          <w:tcPr>
            <w:tcW w:type="dxa" w:w="6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BK4</w:t>
            </w:r>
          </w:p>
        </w:tc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Ageing &amp; SLA alerts</w:t>
            </w:r>
          </w:p>
        </w:tc>
        <w:tc>
          <w:tcPr>
            <w:tcW w:type="dxa" w:w="4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Alert on stale breaks</w:t>
            </w:r>
          </w:p>
        </w:tc>
        <w:tc>
          <w:tcPr>
            <w:tcW w:type="dxa" w:w="12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Should</w:t>
            </w:r>
          </w:p>
        </w:tc>
      </w:tr>
      <w:tr>
        <w:tc>
          <w:tcPr>
            <w:tcW w:type="dxa" w:w="6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BK5</w:t>
            </w:r>
          </w:p>
        </w:tc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Auto-match learning</w:t>
            </w:r>
          </w:p>
        </w:tc>
        <w:tc>
          <w:tcPr>
            <w:tcW w:type="dxa" w:w="4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Improve matching from resolved-break patterns</w:t>
            </w:r>
          </w:p>
        </w:tc>
        <w:tc>
          <w:tcPr>
            <w:tcW w:type="dxa" w:w="12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Could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4. Functional Requirements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 break can only be resolved with a linked Ledger adjustment reference; direct data edits are impossible.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All amount comparison is in integer minor units, never floats.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Statement parsers are fixture-tested per rail; a format change is caught by contract fixtures.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Breaks age with SLA alerting so nothing sits unresolved silently.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5. Non-Functional Requirements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600"/>
        <w:gridCol w:w="6750"/>
      </w:tblGrid>
      <w:tr>
        <w:trPr>
          <w:tblHeader/>
        </w:trPr>
        <w:tc>
          <w:tcPr>
            <w:tcW w:type="dxa" w:w="26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Attribute</w:t>
            </w:r>
          </w:p>
        </w:tc>
        <w:tc>
          <w:tcPr>
            <w:tcW w:type="dxa" w:w="67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Target / requirement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Break detection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Within one statement cycle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False-positive rate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&lt; 1%, monitored monthly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Isolation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Break/run data tenant-isolated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Auditability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Every break and resolution fully audited</w:t>
            </w:r>
          </w:p>
        </w:tc>
      </w:tr>
      <w:tr>
        <w:tc>
          <w:tcPr>
            <w:tcW w:type="dxa" w:w="26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Throughput</w:t>
            </w:r>
          </w:p>
        </w:tc>
        <w:tc>
          <w:tcPr>
            <w:tcW w:type="dxa" w:w="67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Handles full daily statement volume per rail</w:t>
            </w:r>
          </w:p>
        </w:tc>
      </w:tr>
      <w:tr>
        <w:tc>
          <w:tcPr>
            <w:tcW w:type="dxa" w:w="26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Availability</w:t>
            </w:r>
          </w:p>
        </w:tc>
        <w:tc>
          <w:tcPr>
            <w:tcW w:type="dxa" w:w="67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Standard (batch-oriented)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6. Data Owned</w:t>
      </w:r>
    </w:p>
    <w:p>
      <w:pPr>
        <w:spacing w:after="160" w:line="30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This component is the system of record for the following (all rows tenant-scoped; app_id present where the component is a shared adapter):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Reconciliation runs — per rail/window, matched/unmatched counts.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Breaks — status, diff, linked ledger adjustment.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7. Interfaces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7.1 APIs / methods exposed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POST /v1/reconciliation/runs · GET /v1/reconciliation/breaks?status= · POST /v1/reconciliation/breaks/{id}/resolve.</w:t>
      </w:r>
    </w:p>
    <w:p>
      <w:pPr>
        <w:pStyle w:val="Heading2"/>
        <w:spacing w:after="160" w:before="260"/>
      </w:pPr>
      <w:r>
        <w:rPr>
          <w:rFonts w:ascii="Calibri" w:cs="Calibri" w:eastAsia="Calibri" w:hAnsi="Calibri"/>
          <w:b/>
          <w:bCs/>
          <w:color w:val="0A7E79"/>
          <w:sz w:val="25"/>
          <w:szCs w:val="25"/>
        </w:rPr>
        <w:t xml:space="preserve">7.2 Events published / consumed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Publishes: reconciliation.break.opened|resolved.v1.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Consumes: ledger.journal.posted.v1, payments.transfer.completed.v1.</w:t>
      </w:r>
    </w:p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8. Dependencies</w:t>
      </w:r>
    </w:p>
    <w:tbl>
      <w:tblPr>
        <w:tblW w:type="dxa" w:w="9350"/>
        <w:tblBorders>
          <w:top w:val="single" w:color="D8E2E8" w:sz="4"/>
          <w:left w:val="single" w:color="D8E2E8" w:sz="4"/>
          <w:bottom w:val="single" w:color="D8E2E8" w:sz="4"/>
          <w:right w:val="single" w:color="D8E2E8" w:sz="4"/>
          <w:insideH w:val="single" w:color="D8E2E8" w:sz="4"/>
          <w:insideV w:val="single" w:color="D8E2E8" w:sz="4"/>
        </w:tblBorders>
      </w:tblPr>
      <w:tblGrid>
        <w:gridCol w:w="2500"/>
        <w:gridCol w:w="3550"/>
        <w:gridCol w:w="3300"/>
      </w:tblGrid>
      <w:tr>
        <w:trPr>
          <w:tblHeader/>
        </w:trPr>
        <w:tc>
          <w:tcPr>
            <w:tcW w:type="dxa" w:w="25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Depends on</w:t>
            </w:r>
          </w:p>
        </w:tc>
        <w:tc>
          <w:tcPr>
            <w:tcW w:type="dxa" w:w="355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For what</w:t>
            </w:r>
          </w:p>
        </w:tc>
        <w:tc>
          <w:tcPr>
            <w:tcW w:type="dxa" w:w="3300"/>
            <w:shd w:fill="0B1F3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Failure behaviour if unavailable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Ledger (04)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Posting side + adjustments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Cannot resolve breaks without it</w:t>
            </w:r>
          </w:p>
        </w:tc>
      </w:tr>
      <w:tr>
        <w:tc>
          <w:tcPr>
            <w:tcW w:type="dxa" w:w="25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Payout Rail adapter (19)</w:t>
            </w:r>
          </w:p>
        </w:tc>
        <w:tc>
          <w:tcPr>
            <w:tcW w:type="dxa" w:w="355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Rail statements</w:t>
            </w:r>
          </w:p>
        </w:tc>
        <w:tc>
          <w:tcPr>
            <w:tcW w:type="dxa" w:w="3300"/>
            <w:shd w:fill="F4F8FA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No statement ⇒ run deferred</w:t>
            </w:r>
          </w:p>
        </w:tc>
      </w:tr>
      <w:tr>
        <w:tc>
          <w:tcPr>
            <w:tcW w:type="dxa" w:w="25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Control Plane (12)</w:t>
            </w:r>
          </w:p>
        </w:tc>
        <w:tc>
          <w:tcPr>
            <w:tcW w:type="dxa" w:w="355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Tolerance &amp; schedule config</w:t>
            </w:r>
          </w:p>
        </w:tc>
        <w:tc>
          <w:tcPr>
            <w:tcW w:type="dxa" w:w="3300"/>
            <w:shd w:fill="FFFFFF" w:val="clear"/>
            <w:tcMar>
              <w:top w:type="dxa" w:w="90"/>
              <w:left w:type="dxa" w:w="130"/>
              <w:bottom w:type="dxa" w:w="90"/>
              <w:right w:type="dxa" w:w="130"/>
            </w:tcMar>
          </w:tcPr>
          <w:p>
            <w:pPr>
              <w:spacing w:after="0" w:line="260"/>
            </w:pPr>
            <w:r>
              <w:rPr>
                <w:rFonts w:ascii="Calibri" w:cs="Calibri" w:eastAsia="Calibri" w:hAnsi="Calibri"/>
                <w:b w:val="false"/>
                <w:bCs w:val="false"/>
                <w:color w:val="1E2A38"/>
                <w:sz w:val="20"/>
                <w:szCs w:val="20"/>
              </w:rPr>
              <w:t xml:space="preserve">Fail-safe on cached config</w:t>
            </w:r>
          </w:p>
        </w:tc>
      </w:tr>
    </w:tbl>
    <w:p>
      <w:pPr>
        <w:pStyle w:val="Heading1"/>
        <w:spacing w:after="200" w:before="340"/>
      </w:pPr>
      <w:r>
        <w:rPr>
          <w:rFonts w:ascii="Calibri" w:cs="Calibri" w:eastAsia="Calibri" w:hAnsi="Calibri"/>
          <w:b/>
          <w:bCs/>
          <w:color w:val="0B1F3A"/>
          <w:sz w:val="30"/>
          <w:szCs w:val="30"/>
        </w:rPr>
        <w:t xml:space="preserve">9. Key Risks &amp; Controls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Fixing books with data edits — controlled by adjustment-only resolution.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Rounding false-breaks — controlled by minor-unit comparison + tolerance config.</w:t>
      </w:r>
    </w:p>
    <w:p>
      <w:pPr>
        <w:pStyle w:val="ListParagraph"/>
        <w:numPr>
          <w:ilvl w:val="0"/>
          <w:numId w:val="2"/>
        </w:numPr>
        <w:spacing w:after="120" w:line="290"/>
      </w:pPr>
      <w:r>
        <w:rPr>
          <w:rFonts w:ascii="Calibri" w:cs="Calibri" w:eastAsia="Calibri" w:hAnsi="Calibri"/>
          <w:color w:val="1E2A38"/>
          <w:sz w:val="22"/>
          <w:szCs w:val="22"/>
        </w:rPr>
        <w:t xml:space="preserve">Silent unresolved breaks — controlled by ageing SLA alerts.</w:t>
      </w:r>
    </w:p>
    <w:sectPr>
      <w:headerReference w:type="default" r:id="rId7"/>
      <w:footerReference w:type="default" r:id="rId8"/>
      <w:pgSz w:w="12240" w:h="15840" w:orient="portrait"/>
      <w:pgMar w:top="120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spacing w:after="0"/>
      <w:jc w:val="center"/>
    </w:pPr>
    <w:r>
      <w:rPr>
        <w:rFonts w:ascii="Calibri" w:cs="Calibri" w:eastAsia="Calibri" w:hAnsi="Calibri"/>
        <w:color w:val="5B6B7A"/>
        <w:sz w:val="17"/>
        <w:szCs w:val="17"/>
      </w:rPr>
      <w:t xml:space="preserve">Confidential — Internal Use   ·   Page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5B6B7A"/>
        <w:sz w:val="17"/>
        <w:szCs w:val="17"/>
      </w:rPr>
      <w:t xml:space="preserve"> of </w:t>
    </w:r>
    <w:r>
      <w:rPr>
        <w:rFonts w:ascii="Calibri" w:cs="Calibri" w:eastAsia="Calibri" w:hAnsi="Calibri"/>
        <w:color w:val="5B6B7A"/>
        <w:sz w:val="17"/>
        <w:szCs w:val="17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spacing w:after="0"/>
      <w:jc w:val="right"/>
    </w:pPr>
    <w:r>
      <w:rPr>
        <w:rFonts w:ascii="Calibri" w:cs="Calibri" w:eastAsia="Calibri" w:hAnsi="Calibri"/>
        <w:color w:val="0A7E79"/>
        <w:sz w:val="17"/>
        <w:szCs w:val="17"/>
      </w:rPr>
      <w:t xml:space="preserve">Service 09 — Reconciliation Service · Feature Specification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start"/>
      <w:pPr>
        <w:ind w:left="460" w:hanging="23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2A38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2026-07-22T16:04:03.006Z</dcterms:created>
  <dcterms:modified xsi:type="dcterms:W3CDTF">2026-07-22T16:04:03.006Z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