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SERVICE · Service 10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Pricing, Billing &amp; Metering Service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Deterministic quotes (fees, FX margin, tax), usage metering and invoicing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Every fee and every quote line, computed exactly and explainably — Java/JVM, consuming the FX library in-process.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Pricing, Billing &amp; Metering Service (Service 10)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Domain / platform service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Java 21 + Spring Boot 3.3 · PostgreSQL 16 · Kafka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Pricing &amp; Billing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FX library (17, in-process), Country Tax adapter (25), Control Plane (12), Persistence-Java (14)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Payments (05), Wallets (06), Cards (07), Takaful app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10_pricing.design.md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service produces deterministic, explainable quotes — base amount, fees, commission, FX margin, tax and promotions — and meters usage for invoicing. It runs on the JVM for exact BigDecimal arithmetic and consumes the FX rate library (17) in-process, so there is no network hop on the quote path. Both apps use it: banking fees/commission and takaful contribution/wakala-fee pricing.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computes prices exactly and meters usage. It does not hold money (Ledger, 04), move it (Payments, 05), or file tax (Compliance/finance) — it produces the numbers, each traceable to a rule.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Quote computation with an itemised, explainable breakdown.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Fee schedules (flat/percentage/tiered), versioned and effective-dated.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FX margin application over the in-process mid-rate.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Tax line composition via the Country Tax adapter (25).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Usage metering ingestion and invoicing.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Raw FX rates (FX library, 17) and tax rules (Tax adapter, 25) — it composes them.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Holding/posting money (Ledger, 04).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Regulatory filing of tax (Compliance/finance).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Quoting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QT1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Itemised quote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Return base/fee/commission/FX-margin/tax/promo lines + total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QT2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Rate-bound quote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Bind a rate snapshot with a validity window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QT3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Fee schedules (flat/pct/tiered)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Configurable, versioned, effective-dated schedules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QT4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FX margin application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Apply margin over the in-process mid-rate exactly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QT5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Tax line composition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Insert tax/levy lines from the Tax adapter (25)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QT6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Promotions / discounts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Apply promo rules to a quote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Metering &amp; billing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MB1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Usage-event ingestion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Ingest billable usage events at volume (idempotent)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MB2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Invoice generation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Aggregate usage into periodic invoices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MB3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Tenant billing plans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Per-tenant pricing/plan configuration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MB4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Revenue/margin reporting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Report platform revenue and margin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Could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Same inputs + same rule-pack/rate snapshot = byte-identical quote (determinism).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Every quote line is traceable to a rule (and version); the breakdown sums exactly to the total.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All arithmetic is BigDecimal / integer minor units; no floats.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FX library is consumed in-process — no network call on the quote hot path.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Usage ingestion is idempotent by event id at high volume.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Quote latency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p99 &lt; 100 ms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Determinism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Byte-identical replay for pinned inputs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Correctness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Exact minor-unit math; property-tested (jqwik)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Usage throughput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Sized to 3× peak billable-event volume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Isolation &amp; residency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Tenant-isolated; KSA in-Kingdom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Contract safety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Pact provider to all quote consumers (TS↔JVM)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component is the system of record for the following (all rows tenant-scoped; app_id present where the component is a shared adapter):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Quotes — itemised breakdown + rate snapshot + validity.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Fee schedules — versioned, effective-dated.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Usage records — immutable billable events.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Invoices — aggregated period bills.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POST /v1/quotes · POST /v1/usage (idempotent) · GET /v1/invoices/{tenant}/{period}.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Publishes: pricing.quote.issued.v1, billing.invoice.generated.v1.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Consumes: payments.transfer.completed.v1, screening.case.opened.v1 (billable events).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FX library (17)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Mid-market rate, in-process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Stale/out-of-band ⇒ quote halts (fail closed)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Country Tax adapter (25)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Tax/levy lines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No tax pack ⇒ quote cannot complete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Control Plane (12)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Fee schedules &amp; plans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Fail-safe on cached config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Persistence-Java (14)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Tenant-isolated storage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Request rejected without tenant context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Rounding error in fees/FX — controlled by BigDecimal + property tests.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Quote/execution drift — controlled by rate-bound quotes with validity windows.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Unexplainable charges — controlled by rule-traceable line items.</w:t>
      </w:r>
    </w:p>
    <w:tbl>
      <w:tblPr>
        <w:tblW w:type="dxa" w:w="9350"/>
        <w:tblBorders>
          <w:top w:val="single" w:color="B9770E" w:sz="6"/>
          <w:left w:val="single" w:color="B9770E" w:sz="18"/>
          <w:bottom w:val="single" w:color="B9770E" w:sz="6"/>
          <w:right w:val="single" w:color="B9770E" w:sz="6"/>
          <w:insideH w:val="single" w:color="B9770E" w:sz="6"/>
          <w:insideV w:val="single" w:color="B9770E" w:sz="6"/>
        </w:tblBorders>
      </w:tblPr>
      <w:tblGrid>
        <w:gridCol w:w="9350"/>
      </w:tblGrid>
      <w:tr>
        <w:tc>
          <w:tcPr>
            <w:tcW w:type="dxa" w:w="9350"/>
            <w:shd w:fill="FDEBD0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B9770E"/>
                <w:sz w:val="21"/>
                <w:szCs w:val="21"/>
              </w:rPr>
              <w:t xml:space="preserve">Why Java lives here.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The second of three JVM components. Exact fee/FX/tax arithmetic and in-process FX consumption keep the quote path both correct and fast — the reason Pricing stays on the JVM.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Service 10 — Pricing, Billing &amp; Metering Service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2026-07-22T16:04:03.047Z</dcterms:created>
  <dcterms:modified xsi:type="dcterms:W3CDTF">2026-07-22T16:04:03.047Z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