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40" w:before="700"/>
      </w:pPr>
      <w:r>
        <w:rPr>
          <w:rFonts w:ascii="Calibri" w:cs="Calibri" w:eastAsia="Calibri" w:hAnsi="Calibri"/>
          <w:b/>
          <w:bCs/>
          <w:color w:val="0A7E79"/>
          <w:sz w:val="21"/>
          <w:szCs w:val="21"/>
        </w:rPr>
        <w:t xml:space="preserve">FEATURE SPECIFICATION · SERVICE (SHARED ADAPTER) · Service 12</w:t>
      </w:r>
    </w:p>
    <w:p>
      <w:pPr>
        <w:spacing w:after="200"/>
      </w:pPr>
      <w:r>
        <w:rPr>
          <w:rFonts w:ascii="Calibri" w:cs="Calibri" w:eastAsia="Calibri" w:hAnsi="Calibri"/>
          <w:b/>
          <w:bCs/>
          <w:color w:val="0B1F3A"/>
          <w:sz w:val="52"/>
          <w:szCs w:val="52"/>
        </w:rPr>
        <w:t xml:space="preserve">Tenant / Country Registry &amp; Control-Plane Service — Feature Specification</w:t>
      </w:r>
    </w:p>
    <w:p>
      <w:pPr>
        <w:spacing w:after="200"/>
      </w:pPr>
      <w:r>
        <w:rPr>
          <w:rFonts w:ascii="Calibri" w:cs="Calibri" w:eastAsia="Calibri" w:hAnsi="Calibri"/>
          <w:b/>
          <w:bCs/>
          <w:color w:val="0A7E79"/>
          <w:sz w:val="27"/>
          <w:szCs w:val="27"/>
        </w:rPr>
        <w:t xml:space="preserve">Tenant registry, hierarchical config, entitlements, onboarding orchestration, residency routing</w:t>
      </w:r>
    </w:p>
    <w:p>
      <w:pPr>
        <w:spacing w:after="420"/>
      </w:pPr>
      <w:r>
        <w:rPr>
          <w:rFonts w:ascii="Calibri" w:cs="Calibri" w:eastAsia="Calibri" w:hAnsi="Calibri"/>
          <w:i/>
          <w:iCs/>
          <w:color w:val="5B6B7A"/>
          <w:sz w:val="22"/>
          <w:szCs w:val="22"/>
        </w:rPr>
        <w:t xml:space="preserve">The tenant-agnostic brain every service depends on — resolve who a tenant is, their effective config, and which region their data lives in.</w:t>
      </w:r>
    </w:p>
    <w:tbl>
      <w:tblPr>
        <w:tblW w:type="dxa" w:w="935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2300"/>
        <w:gridCol w:w="7050"/>
      </w:tblGrid>
      <w:tr>
        <w:trPr>
          <w:tblHeader/>
        </w:trPr>
        <w:tc>
          <w:tcPr>
            <w:tcW w:type="dxa" w:w="23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Field</w:t>
            </w:r>
          </w:p>
        </w:tc>
        <w:tc>
          <w:tcPr>
            <w:tcW w:type="dxa" w:w="70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Details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Component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Tenant / Country Registry &amp; Control-Plane Service (Service 12)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Type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Shared adapter (SPI)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Runtime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NestJS 10 / TS strict · PostgreSQL 16 + Redis (+ in-process LRU)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Owning squad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Platform / Enablement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Consumes / depends on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OIDC (22), IaC/GitOps trigger, Persistence (14)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Consumed by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Every service and adapter, both apps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Design companion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12_control_plane.design.md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Status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Design stage — nothing built yet; features below are the target scope to build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Version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1.0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Date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17 July 2026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Classification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Confidential — Internal Use</w:t>
            </w:r>
          </w:p>
        </w:tc>
      </w:tr>
    </w:tbl>
    <w:p>
      <w:r>
        <w:br w:type="page"/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1. Overview</w:t>
      </w:r>
    </w:p>
    <w:p>
      <w:pPr>
        <w:spacing w:after="160" w:line="30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This is the tenant-agnostic control plane and one of the eight shared adapters. It holds the tenant registry, the hierarchical configuration store and resolver, entitlements, and onboarding orchestration — and it holds no regulated customer data. Its hot path, resolveEffectiveConfig, is a dependency of every other service, so it is engineered for a &lt;5 ms p99 and fails safe on cache-stale rather than hard-failing the platform.</w:t>
      </w:r>
    </w:p>
    <w:tbl>
      <w:tblPr>
        <w:tblW w:type="dxa" w:w="9350"/>
        <w:tblBorders>
          <w:top w:val="single" w:color="0A7E79" w:sz="6"/>
          <w:left w:val="single" w:color="0A7E79" w:sz="18"/>
          <w:bottom w:val="single" w:color="0A7E79" w:sz="6"/>
          <w:right w:val="single" w:color="0A7E79" w:sz="6"/>
          <w:insideH w:val="single" w:color="0A7E79" w:sz="6"/>
          <w:insideV w:val="single" w:color="0A7E79" w:sz="6"/>
        </w:tblBorders>
      </w:tblPr>
      <w:tblGrid>
        <w:gridCol w:w="9350"/>
      </w:tblGrid>
      <w:tr>
        <w:tc>
          <w:tcPr>
            <w:tcW w:type="dxa" w:w="9350"/>
            <w:shd w:fill="EAF2F8" w:val="clear"/>
            <w:tcMar>
              <w:top w:type="dxa" w:w="130"/>
              <w:left w:type="dxa" w:w="170"/>
              <w:bottom w:type="dxa" w:w="130"/>
              <w:right w:type="dxa" w:w="170"/>
            </w:tcMar>
          </w:tcPr>
          <w:p>
            <w:pPr>
              <w:spacing w:after="0" w:line="290"/>
            </w:pPr>
            <w:r>
              <w:rPr>
                <w:rFonts w:ascii="Calibri" w:cs="Calibri" w:eastAsia="Calibri" w:hAnsi="Calibri"/>
                <w:b/>
                <w:bCs/>
                <w:color w:val="0A7E79"/>
                <w:sz w:val="21"/>
                <w:szCs w:val="21"/>
              </w:rPr>
              <w:t xml:space="preserve">Single responsibility.  </w:t>
            </w:r>
            <w:r>
              <w:rPr>
                <w:rFonts w:ascii="Calibri" w:cs="Calibri" w:eastAsia="Calibri" w:hAnsi="Calibri"/>
                <w:color w:val="1E2A38"/>
                <w:sz w:val="21"/>
                <w:szCs w:val="21"/>
              </w:rPr>
              <w:t xml:space="preserve">It answers 'who is this tenant, what is their effective configuration, and which region routes their data?' It holds no customer PII and no money — it is the configuration and identity-of-tenant backbone.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2. Scope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2.1 In scope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Tenant registry and lifecycle (provisioning → active → suspended → offboarding).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Hierarchical configuration store and effective-config resolver (GLOBAL→REGION→TENANT→PRODUCT→CHANNEL→CORRIDOR).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Entitlements (which capabilities a tenant has licensed).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Residency routing (home_region pk/ae/sa).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Config lifecycle: author → validate → maker-checker → publish immutable version → promote → rollback.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Onboarding orchestration (triggering tenant provisioning).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2.2 Explicitly out of scope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Any regulated customer data (Identity, 02 and others own that).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Authentication (OIDC adapter, 22).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Compliance-pack content authorship semantics (packs are data it stores/serves).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3. Feature Catalogue (MoSCoW)</w:t>
      </w:r>
    </w:p>
    <w:p>
      <w:pPr>
        <w:spacing w:after="160" w:line="30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Features grouped by capability area. Priority uses MoSCoW: Must = required for the Pakistan pilot; Should = needed for a complete first release; Could = valuable later; Won't = explicitly deferred (recorded so it is a decision, not an omission).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3.1 Registry &amp; entitlements</w:t>
      </w:r>
    </w:p>
    <w:tbl>
      <w:tblPr>
        <w:tblW w:type="dxa" w:w="900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650"/>
        <w:gridCol w:w="2600"/>
        <w:gridCol w:w="4550"/>
        <w:gridCol w:w="1200"/>
      </w:tblGrid>
      <w:tr>
        <w:trPr>
          <w:tblHeader/>
        </w:trPr>
        <w:tc>
          <w:tcPr>
            <w:tcW w:type="dxa" w:w="6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#</w:t>
            </w:r>
          </w:p>
        </w:tc>
        <w:tc>
          <w:tcPr>
            <w:tcW w:type="dxa" w:w="26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Feature</w:t>
            </w:r>
          </w:p>
        </w:tc>
        <w:tc>
          <w:tcPr>
            <w:tcW w:type="dxa" w:w="45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What it does</w:t>
            </w:r>
          </w:p>
        </w:tc>
        <w:tc>
          <w:tcPr>
            <w:tcW w:type="dxa" w:w="12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Priority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RG1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Tenant registration &amp; lifecycle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Create tenants; manage status transitions with maker-checker on destructive ones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RG2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Entitlement grants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Grant/revoke capability entitlements per tenant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RG3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Residency assignment (home_region)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Assign pk/ae/sa; drive data-plane routing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RG4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Tenant tier assignment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Enterprise/Standard/Starter tier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RG5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App-scoping (banking/takaful)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Tenant config scoped per consuming app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</w:tbl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3.2 Configuration</w:t>
      </w:r>
    </w:p>
    <w:tbl>
      <w:tblPr>
        <w:tblW w:type="dxa" w:w="900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650"/>
        <w:gridCol w:w="2600"/>
        <w:gridCol w:w="4550"/>
        <w:gridCol w:w="1200"/>
      </w:tblGrid>
      <w:tr>
        <w:trPr>
          <w:tblHeader/>
        </w:trPr>
        <w:tc>
          <w:tcPr>
            <w:tcW w:type="dxa" w:w="6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#</w:t>
            </w:r>
          </w:p>
        </w:tc>
        <w:tc>
          <w:tcPr>
            <w:tcW w:type="dxa" w:w="26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Feature</w:t>
            </w:r>
          </w:p>
        </w:tc>
        <w:tc>
          <w:tcPr>
            <w:tcW w:type="dxa" w:w="45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What it does</w:t>
            </w:r>
          </w:p>
        </w:tc>
        <w:tc>
          <w:tcPr>
            <w:tcW w:type="dxa" w:w="12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Priority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CF1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Hierarchical config store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Store config across the 6-level scope hierarchy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CF2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Effective-config resolver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Resolve merged effective config with the documented merge semantics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CF3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Immutable versioned publish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Publish effective-dated immutable config versions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CF4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Maker-checker + validation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Schema/range validation and two-person approval before publish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CF5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Promote &amp; one-click rollback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Promote dev→staging→prod; rollback to last known-good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CF6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Multi-level cache (LRU+Redis)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In-process LRU in front of Redis for the hot path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</w:tbl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3.3 Onboarding orchestration</w:t>
      </w:r>
    </w:p>
    <w:tbl>
      <w:tblPr>
        <w:tblW w:type="dxa" w:w="900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650"/>
        <w:gridCol w:w="2600"/>
        <w:gridCol w:w="4550"/>
        <w:gridCol w:w="1200"/>
      </w:tblGrid>
      <w:tr>
        <w:trPr>
          <w:tblHeader/>
        </w:trPr>
        <w:tc>
          <w:tcPr>
            <w:tcW w:type="dxa" w:w="6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#</w:t>
            </w:r>
          </w:p>
        </w:tc>
        <w:tc>
          <w:tcPr>
            <w:tcW w:type="dxa" w:w="26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Feature</w:t>
            </w:r>
          </w:p>
        </w:tc>
        <w:tc>
          <w:tcPr>
            <w:tcW w:type="dxa" w:w="45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What it does</w:t>
            </w:r>
          </w:p>
        </w:tc>
        <w:tc>
          <w:tcPr>
            <w:tcW w:type="dxa" w:w="12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Priority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OO1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Provisioning trigger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Trigger IaC/GitOps provisioning of a new tenant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OO2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Realm creation trigger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Ask OIDC to create the tenant realm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OO3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Onboarding step tracking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Track control-plane onboarding steps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Should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4. Functional Requirements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resolveEffectiveConfig merges the scope hierarchy deterministically (scalars: most-specific wins; maps: deep merge; lists: replace|append|remove).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Config versions are immutable and effective-dated; publishing creates a new version rather than editing.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Destructive tenant transitions and config publishes require maker-checker.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Consumers fail safe on a stale cache read; the resolver never hard-fails the whole platform on a live-lookup miss.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The control plane holds no regulated customer data and runs pooled, single-region-primary — the inverse posture to the data planes it manages.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5. Non-Functional Requirements</w:t>
      </w:r>
    </w:p>
    <w:tbl>
      <w:tblPr>
        <w:tblW w:type="dxa" w:w="935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2600"/>
        <w:gridCol w:w="6750"/>
      </w:tblGrid>
      <w:tr>
        <w:trPr>
          <w:tblHeader/>
        </w:trPr>
        <w:tc>
          <w:tcPr>
            <w:tcW w:type="dxa" w:w="26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Attribute</w:t>
            </w:r>
          </w:p>
        </w:tc>
        <w:tc>
          <w:tcPr>
            <w:tcW w:type="dxa" w:w="67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Target / requirement</w:t>
            </w:r>
          </w:p>
        </w:tc>
      </w:tr>
      <w:tr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Config resolution latency</w:t>
            </w:r>
          </w:p>
        </w:tc>
        <w:tc>
          <w:tcPr>
            <w:tcW w:type="dxa" w:w="67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p99 &lt; 5 ms on cache hit (why the L1 LRU exists)</w:t>
            </w:r>
          </w:p>
        </w:tc>
      </w:tr>
      <w:tr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Cache invalidation</w:t>
            </w:r>
          </w:p>
        </w:tc>
        <w:tc>
          <w:tcPr>
            <w:tcW w:type="dxa" w:w="67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Config publish propagates within &lt; 2 s</w:t>
            </w:r>
          </w:p>
        </w:tc>
      </w:tr>
      <w:tr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Availability</w:t>
            </w:r>
          </w:p>
        </w:tc>
        <w:tc>
          <w:tcPr>
            <w:tcW w:type="dxa" w:w="67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Highest — every service depends on it; fail-safe on stale</w:t>
            </w:r>
          </w:p>
        </w:tc>
      </w:tr>
      <w:tr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Auditability</w:t>
            </w:r>
          </w:p>
        </w:tc>
        <w:tc>
          <w:tcPr>
            <w:tcW w:type="dxa" w:w="67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Every tenant/config/entitlement change fully audited</w:t>
            </w:r>
          </w:p>
        </w:tc>
      </w:tr>
      <w:tr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Data class</w:t>
            </w:r>
          </w:p>
        </w:tc>
        <w:tc>
          <w:tcPr>
            <w:tcW w:type="dxa" w:w="67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No regulated customer data held here</w:t>
            </w:r>
          </w:p>
        </w:tc>
      </w:tr>
      <w:tr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Throughput</w:t>
            </w:r>
          </w:p>
        </w:tc>
        <w:tc>
          <w:tcPr>
            <w:tcW w:type="dxa" w:w="67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Sized to whole-fleet resolve volume × 3 peak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6. Data Owned</w:t>
      </w:r>
    </w:p>
    <w:p>
      <w:pPr>
        <w:spacing w:after="160" w:line="30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This component is the system of record for the following (all rows tenant-scoped; app_id present where the component is a shared adapter):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Tenants — identity, tier, home_region, status.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Configuration versions — immutable, effective-dated, per scope.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Entitlements — capability grants per tenant.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Audit log — every control-plane change.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7. Interfaces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7.1 APIs / methods exposed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POST /v1/tenants · POST /v1/config · GET /v1/config/effective (hot path) · POST /v1/entitlements.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7.2 Events published / consumed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Publishes: control.tenant.registered|activated|suspended.v1, control.config.published.v1.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Consumes: onboarding workflow signals.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8. Dependencies</w:t>
      </w:r>
    </w:p>
    <w:tbl>
      <w:tblPr>
        <w:tblW w:type="dxa" w:w="935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2500"/>
        <w:gridCol w:w="3550"/>
        <w:gridCol w:w="3300"/>
      </w:tblGrid>
      <w:tr>
        <w:trPr>
          <w:tblHeader/>
        </w:trPr>
        <w:tc>
          <w:tcPr>
            <w:tcW w:type="dxa" w:w="25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Depends on</w:t>
            </w:r>
          </w:p>
        </w:tc>
        <w:tc>
          <w:tcPr>
            <w:tcW w:type="dxa" w:w="35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For what</w:t>
            </w:r>
          </w:p>
        </w:tc>
        <w:tc>
          <w:tcPr>
            <w:tcW w:type="dxa" w:w="33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Failure behaviour if unavailable</w:t>
            </w:r>
          </w:p>
        </w:tc>
      </w:tr>
      <w:tr>
        <w:tc>
          <w:tcPr>
            <w:tcW w:type="dxa" w:w="25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OIDC (22)</w:t>
            </w:r>
          </w:p>
        </w:tc>
        <w:tc>
          <w:tcPr>
            <w:tcW w:type="dxa" w:w="3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Tenant realm creation</w:t>
            </w:r>
          </w:p>
        </w:tc>
        <w:tc>
          <w:tcPr>
            <w:tcW w:type="dxa" w:w="3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Onboarding step queues/retries</w:t>
            </w:r>
          </w:p>
        </w:tc>
      </w:tr>
      <w:tr>
        <w:tc>
          <w:tcPr>
            <w:tcW w:type="dxa" w:w="25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IaC/GitOps trigger</w:t>
            </w:r>
          </w:p>
        </w:tc>
        <w:tc>
          <w:tcPr>
            <w:tcW w:type="dxa" w:w="3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Tenant provisioning</w:t>
            </w:r>
          </w:p>
        </w:tc>
        <w:tc>
          <w:tcPr>
            <w:tcW w:type="dxa" w:w="3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Provisioning retried; tenant stays PROVISIONING</w:t>
            </w:r>
          </w:p>
        </w:tc>
      </w:tr>
      <w:tr>
        <w:tc>
          <w:tcPr>
            <w:tcW w:type="dxa" w:w="25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Persistence (14)</w:t>
            </w:r>
          </w:p>
        </w:tc>
        <w:tc>
          <w:tcPr>
            <w:tcW w:type="dxa" w:w="3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Registry/config storage</w:t>
            </w:r>
          </w:p>
        </w:tc>
        <w:tc>
          <w:tcPr>
            <w:tcW w:type="dxa" w:w="3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Reads served from cache; writes fail safe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9. Key Risks &amp; Controls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Hot-path latency regressions — controlled by the L1 LRU + &lt;5 ms budget + load tests.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Hard-failing the fleet on a control-plane blip — controlled by fail-safe-on-stale consumers.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Bad config reaching prod — controlled by validation + maker-checker + rollback.</w:t>
      </w:r>
    </w:p>
    <w:tbl>
      <w:tblPr>
        <w:tblW w:type="dxa" w:w="9350"/>
        <w:tblBorders>
          <w:top w:val="single" w:color="B9770E" w:sz="6"/>
          <w:left w:val="single" w:color="B9770E" w:sz="18"/>
          <w:bottom w:val="single" w:color="B9770E" w:sz="6"/>
          <w:right w:val="single" w:color="B9770E" w:sz="6"/>
          <w:insideH w:val="single" w:color="B9770E" w:sz="6"/>
          <w:insideV w:val="single" w:color="B9770E" w:sz="6"/>
        </w:tblBorders>
      </w:tblPr>
      <w:tblGrid>
        <w:gridCol w:w="9350"/>
      </w:tblGrid>
      <w:tr>
        <w:tc>
          <w:tcPr>
            <w:tcW w:type="dxa" w:w="9350"/>
            <w:shd w:fill="FDEBD0" w:val="clear"/>
            <w:tcMar>
              <w:top w:type="dxa" w:w="130"/>
              <w:left w:type="dxa" w:w="170"/>
              <w:bottom w:type="dxa" w:w="130"/>
              <w:right w:type="dxa" w:w="170"/>
            </w:tcMar>
          </w:tcPr>
          <w:p>
            <w:pPr>
              <w:spacing w:after="0" w:line="290"/>
            </w:pPr>
            <w:r>
              <w:rPr>
                <w:rFonts w:ascii="Calibri" w:cs="Calibri" w:eastAsia="Calibri" w:hAnsi="Calibri"/>
                <w:b/>
                <w:bCs/>
                <w:color w:val="B9770E"/>
                <w:sz w:val="21"/>
                <w:szCs w:val="21"/>
              </w:rPr>
              <w:t xml:space="preserve">Shared adapter #8 — and the first thing to build.  </w:t>
            </w:r>
            <w:r>
              <w:rPr>
                <w:rFonts w:ascii="Calibri" w:cs="Calibri" w:eastAsia="Calibri" w:hAnsi="Calibri"/>
                <w:color w:val="1E2A38"/>
                <w:sz w:val="21"/>
                <w:szCs w:val="21"/>
              </w:rPr>
              <w:t xml:space="preserve">Because every service resolves config here, this is the foundation component to build first (with OIDC and Persistence). Both apps depend on it; takaful adds only its own product-line config.</w:t>
            </w:r>
          </w:p>
        </w:tc>
      </w:tr>
    </w:tbl>
    <w:sectPr>
      <w:headerReference w:type="default" r:id="rId7"/>
      <w:footerReference w:type="default" r:id="rId8"/>
      <w:pgSz w:w="12240" w:h="15840" w:orient="portrait"/>
      <w:pgMar w:top="1200" w:right="1440" w:bottom="120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0"/>
      <w:jc w:val="center"/>
    </w:pPr>
    <w:r>
      <w:rPr>
        <w:rFonts w:ascii="Calibri" w:cs="Calibri" w:eastAsia="Calibri" w:hAnsi="Calibri"/>
        <w:color w:val="5B6B7A"/>
        <w:sz w:val="17"/>
        <w:szCs w:val="17"/>
      </w:rPr>
      <w:t xml:space="preserve">Confidential — Internal Use   ·   Page </w:t>
    </w:r>
    <w:r>
      <w:rPr>
        <w:rFonts w:ascii="Calibri" w:cs="Calibri" w:eastAsia="Calibri" w:hAnsi="Calibri"/>
        <w:color w:val="5B6B7A"/>
        <w:sz w:val="17"/>
        <w:szCs w:val="17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5B6B7A"/>
        <w:sz w:val="17"/>
        <w:szCs w:val="17"/>
      </w:rPr>
      <w:t xml:space="preserve"> of </w:t>
    </w:r>
    <w:r>
      <w:rPr>
        <w:rFonts w:ascii="Calibri" w:cs="Calibri" w:eastAsia="Calibri" w:hAnsi="Calibri"/>
        <w:color w:val="5B6B7A"/>
        <w:sz w:val="17"/>
        <w:szCs w:val="17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/>
      <w:jc w:val="right"/>
    </w:pPr>
    <w:r>
      <w:rPr>
        <w:rFonts w:ascii="Calibri" w:cs="Calibri" w:eastAsia="Calibri" w:hAnsi="Calibri"/>
        <w:color w:val="0A7E79"/>
        <w:sz w:val="17"/>
        <w:szCs w:val="17"/>
      </w:rPr>
      <w:t xml:space="preserve">Service 12 — Tenant / Country Registry &amp; Control-Plane Service · Feature Specification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start"/>
      <w:pPr>
        <w:ind w:left="460" w:hanging="23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E2A38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2026-07-22T16:05:30.485Z</dcterms:created>
  <dcterms:modified xsi:type="dcterms:W3CDTF">2026-07-22T16:05:30.485Z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