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40" w:before="700"/>
      </w:pPr>
      <w:r>
        <w:rPr>
          <w:rFonts w:ascii="Calibri" w:cs="Calibri" w:eastAsia="Calibri" w:hAnsi="Calibri"/>
          <w:b/>
          <w:bCs/>
          <w:color w:val="0A7E79"/>
          <w:sz w:val="21"/>
          <w:szCs w:val="21"/>
        </w:rPr>
        <w:t xml:space="preserve">FEATURE SPECIFICATION · SERVICE · Service 13</w:t>
      </w:r>
    </w:p>
    <w:p>
      <w:pPr>
        <w:spacing w:after="200"/>
      </w:pPr>
      <w:r>
        <w:rPr>
          <w:rFonts w:ascii="Calibri" w:cs="Calibri" w:eastAsia="Calibri" w:hAnsi="Calibri"/>
          <w:b/>
          <w:bCs/>
          <w:color w:val="0B1F3A"/>
          <w:sz w:val="52"/>
          <w:szCs w:val="52"/>
        </w:rPr>
        <w:t xml:space="preserve">Notification Service — Feature Specification</w:t>
      </w:r>
    </w:p>
    <w:p>
      <w:pPr>
        <w:spacing w:after="200"/>
      </w:pPr>
      <w:r>
        <w:rPr>
          <w:rFonts w:ascii="Calibri" w:cs="Calibri" w:eastAsia="Calibri" w:hAnsi="Calibri"/>
          <w:b/>
          <w:bCs/>
          <w:color w:val="0A7E79"/>
          <w:sz w:val="27"/>
          <w:szCs w:val="27"/>
        </w:rPr>
        <w:t xml:space="preserve">Tenant-branded, localized customer communication over SMS/email/push/in-app</w:t>
      </w:r>
    </w:p>
    <w:p>
      <w:pPr>
        <w:spacing w:after="420"/>
      </w:pPr>
      <w:r>
        <w:rPr>
          <w:rFonts w:ascii="Calibri" w:cs="Calibri" w:eastAsia="Calibri" w:hAnsi="Calibri"/>
          <w:i/>
          <w:iCs/>
          <w:color w:val="5B6B7A"/>
          <w:sz w:val="22"/>
          <w:szCs w:val="22"/>
        </w:rPr>
        <w:t xml:space="preserve">Owns templates, locale, preferences/consent and delivery tracking — sending transactional messages for both apps via the messaging adapter.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300"/>
        <w:gridCol w:w="7050"/>
      </w:tblGrid>
      <w:tr>
        <w:trPr>
          <w:tblHeader/>
        </w:trPr>
        <w:tc>
          <w:tcPr>
            <w:tcW w:type="dxa" w:w="23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Field</w:t>
            </w:r>
          </w:p>
        </w:tc>
        <w:tc>
          <w:tcPr>
            <w:tcW w:type="dxa" w:w="70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Details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Component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Notification Service (Service 13)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Type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Domain / platform service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Runtime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NestJS 10 / TypeScript strict · PostgreSQL 16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Owning squad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Developer Platform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Consumes / depends 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Messaging adapter (21), Control Plane (12), Persistence (14)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Consumed by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All domain services (via events), both apps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Design companion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13_notification.design.md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Status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Design stage — nothing built yet; features below are the target scope to build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Version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1.0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Date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17 July 2026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Classification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Confidential — Internal Use</w:t>
            </w:r>
          </w:p>
        </w:tc>
      </w:tr>
    </w:tbl>
    <w:p>
      <w:r>
        <w:br w:type="page"/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1. Overview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This service delivers tenant-branded, localized customer communications over SMS, email, push and in-app. It owns notification templates, locale resolution, delivery preferences/consent, and delivery tracking, and it sends via the messaging adapter (21). At launch it is transactional-only; marketing-consent categories are modelled but campaign tooling is out of scope.</w:t>
      </w:r>
    </w:p>
    <w:tbl>
      <w:tblPr>
        <w:tblW w:type="dxa" w:w="9350"/>
        <w:tblBorders>
          <w:top w:val="single" w:color="0A7E79" w:sz="6"/>
          <w:left w:val="single" w:color="0A7E79" w:sz="18"/>
          <w:bottom w:val="single" w:color="0A7E79" w:sz="6"/>
          <w:right w:val="single" w:color="0A7E79" w:sz="6"/>
          <w:insideH w:val="single" w:color="0A7E79" w:sz="6"/>
          <w:insideV w:val="single" w:color="0A7E79" w:sz="6"/>
        </w:tblBorders>
      </w:tblPr>
      <w:tblGrid>
        <w:gridCol w:w="9350"/>
      </w:tblGrid>
      <w:tr>
        <w:tc>
          <w:tcPr>
            <w:tcW w:type="dxa" w:w="9350"/>
            <w:shd w:fill="EAF2F8" w:val="clear"/>
            <w:tcMar>
              <w:top w:type="dxa" w:w="130"/>
              <w:left w:type="dxa" w:w="170"/>
              <w:bottom w:type="dxa" w:w="130"/>
              <w:right w:type="dxa" w:w="170"/>
            </w:tcMar>
          </w:tcPr>
          <w:p>
            <w:pPr>
              <w:spacing w:after="0" w:line="290"/>
            </w:pPr>
            <w:r>
              <w:rPr>
                <w:rFonts w:ascii="Calibri" w:cs="Calibri" w:eastAsia="Calibri" w:hAnsi="Calibri"/>
                <w:b/>
                <w:bCs/>
                <w:color w:val="0A7E79"/>
                <w:sz w:val="21"/>
                <w:szCs w:val="21"/>
              </w:rPr>
              <w:t xml:space="preserve">Single responsibility.  </w:t>
            </w:r>
            <w:r>
              <w:rPr>
                <w:rFonts w:ascii="Calibri" w:cs="Calibri" w:eastAsia="Calibri" w:hAnsi="Calibri"/>
                <w:color w:val="1E2A38"/>
                <w:sz w:val="21"/>
                <w:szCs w:val="21"/>
              </w:rPr>
              <w:t xml:space="preserve">It decides what message to render, in what language, whether the customer consented, and tracks delivery. It does not talk to SMS/email vendors directly (the messaging adapter, 21, does).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2. Scope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2.1 In scope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Versioned, localized templates per tenant/channel.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Locale resolution and RTL rendering (Urdu Nastaliq, Arabic).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Delivery preferences and consent (security messages non-optional).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Idempotent send with dedupe.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Delivery status tracking with provider failover.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2.2 Explicitly out of scope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Talking to messaging providers (Messaging adapter, 21).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Marketing campaign management (deferred).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Being a system of record for customer identity (Identity, 02).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3. Feature Catalogue (MoSCoW)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Features grouped by capability area. Priority uses MoSCoW: Must = required for the Pakistan pilot; Should = needed for a complete first release; Could = valuable later; Won't = explicitly deferred (recorded so it is a decision, not an omission).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3.1 Templates &amp; localization</w:t>
      </w:r>
    </w:p>
    <w:tbl>
      <w:tblPr>
        <w:tblW w:type="dxa" w:w="900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650"/>
        <w:gridCol w:w="2600"/>
        <w:gridCol w:w="4550"/>
        <w:gridCol w:w="1200"/>
      </w:tblGrid>
      <w:tr>
        <w:trPr>
          <w:tblHeader/>
        </w:trPr>
        <w:tc>
          <w:tcPr>
            <w:tcW w:type="dxa" w:w="6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4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What it does</w:t>
            </w:r>
          </w:p>
        </w:tc>
        <w:tc>
          <w:tcPr>
            <w:tcW w:type="dxa" w:w="12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TL1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Versioned templates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Per tenant/channel/locale, ICU MessageFormat, versioned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TL2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Locale resolution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Request → pref → tenant default → en-* fallback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TL3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RTL rendering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Urdu (Nastaliq) and Arabic RTL messages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TL4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Missing-param safety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Render fails to FAILED rather than sending a blank field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</w:tbl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3.2 Delivery</w:t>
      </w:r>
    </w:p>
    <w:tbl>
      <w:tblPr>
        <w:tblW w:type="dxa" w:w="900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650"/>
        <w:gridCol w:w="2600"/>
        <w:gridCol w:w="4550"/>
        <w:gridCol w:w="1200"/>
      </w:tblGrid>
      <w:tr>
        <w:trPr>
          <w:tblHeader/>
        </w:trPr>
        <w:tc>
          <w:tcPr>
            <w:tcW w:type="dxa" w:w="6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4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What it does</w:t>
            </w:r>
          </w:p>
        </w:tc>
        <w:tc>
          <w:tcPr>
            <w:tcW w:type="dxa" w:w="12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DL1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Multi-channel send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SMS / email / push / in-app via the adapter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DL2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Idempotent send (dedupe)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Duplicate sends converge by dedupe key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DL3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Delivery status tracking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SENT→DELIVERED/FAILED via provider webhooks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DL4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Provider failover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Fail over to a secondary provider on errors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Should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DL5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Delivery retry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Exp-backoff retry within budget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</w:tbl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3.3 Preferences &amp; consent</w:t>
      </w:r>
    </w:p>
    <w:tbl>
      <w:tblPr>
        <w:tblW w:type="dxa" w:w="900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650"/>
        <w:gridCol w:w="2600"/>
        <w:gridCol w:w="4550"/>
        <w:gridCol w:w="1200"/>
      </w:tblGrid>
      <w:tr>
        <w:trPr>
          <w:tblHeader/>
        </w:trPr>
        <w:tc>
          <w:tcPr>
            <w:tcW w:type="dxa" w:w="6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4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What it does</w:t>
            </w:r>
          </w:p>
        </w:tc>
        <w:tc>
          <w:tcPr>
            <w:tcW w:type="dxa" w:w="12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PC1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Preference management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Per customer/channel/category opt-in/out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PC2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Security-category enforcement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Security/OTP messages cannot be opted out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PC3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Marketing consent capture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Model marketing consent (campaign tooling later)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Should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PC4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Quiet hours / throttling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Respect quiet hours per market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Could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4. Functional Requirements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Sends are idempotent by (tenant, dedupe key); duplicates never double-send.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A missing template parameter fails the notification rather than sending a blank/incorrect message.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Security-category messages (e.g. OTP) cannot be suppressed by preferences.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Locale resolution follows the chain; ur-PK / ar-* render RTL.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PII in message params is not persisted; only rendered-message references where a pack requires archival.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5. Non-Functional Requirements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600"/>
        <w:gridCol w:w="6750"/>
      </w:tblGrid>
      <w:tr>
        <w:trPr>
          <w:tblHeader/>
        </w:trPr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Attribute</w:t>
            </w:r>
          </w:p>
        </w:tc>
        <w:tc>
          <w:tcPr>
            <w:tcW w:type="dxa" w:w="67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Target / requirement</w:t>
            </w:r>
          </w:p>
        </w:tc>
      </w:tr>
      <w:tr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Security/OTP latency</w:t>
            </w:r>
          </w:p>
        </w:tc>
        <w:tc>
          <w:tcPr>
            <w:tcW w:type="dxa" w:w="6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p95 &lt; 5 s end-to-end</w:t>
            </w:r>
          </w:p>
        </w:tc>
      </w:tr>
      <w:tr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Delivery success</w:t>
            </w:r>
          </w:p>
        </w:tc>
        <w:tc>
          <w:tcPr>
            <w:tcW w:type="dxa" w:w="6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&gt; 99% within the retry budget</w:t>
            </w:r>
          </w:p>
        </w:tc>
      </w:tr>
      <w:tr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Localization</w:t>
            </w:r>
          </w:p>
        </w:tc>
        <w:tc>
          <w:tcPr>
            <w:tcW w:type="dxa" w:w="6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en-PK, ur-PK (RTL), ar-AE, ar-SA</w:t>
            </w:r>
          </w:p>
        </w:tc>
      </w:tr>
      <w:tr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Isolation</w:t>
            </w:r>
          </w:p>
        </w:tc>
        <w:tc>
          <w:tcPr>
            <w:tcW w:type="dxa" w:w="6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Template/preference data tenant-isolated</w:t>
            </w:r>
          </w:p>
        </w:tc>
      </w:tr>
      <w:tr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Idempotency</w:t>
            </w:r>
          </w:p>
        </w:tc>
        <w:tc>
          <w:tcPr>
            <w:tcW w:type="dxa" w:w="6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100% dedupe on repeated sends</w:t>
            </w:r>
          </w:p>
        </w:tc>
      </w:tr>
      <w:tr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Availability</w:t>
            </w:r>
          </w:p>
        </w:tc>
        <w:tc>
          <w:tcPr>
            <w:tcW w:type="dxa" w:w="6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High — OTPs gate onboarding and auth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6. Data Owned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This component is the system of record for the following (all rows tenant-scoped; app_id present where the component is a shared adapter):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Templates — versioned per tenant/channel/locale.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Notifications — send records + status (dedupe-keyed).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Preferences — per customer/channel/category consent.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7. Interfaces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7.1 APIs / methods exposed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POST /v1/notifications (idempotent) · PUT /v1/templates/{key} · PUT /v1/customers/{id}/preferences.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7.2 Events published / consumed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Publishes: notification.message.sent|delivered|failed.v1.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Consumes: domain topics per template-trigger config (e.g. payments.transfer.completed.v1).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8. Dependencies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500"/>
        <w:gridCol w:w="3550"/>
        <w:gridCol w:w="3300"/>
      </w:tblGrid>
      <w:tr>
        <w:trPr>
          <w:tblHeader/>
        </w:trPr>
        <w:tc>
          <w:tcPr>
            <w:tcW w:type="dxa" w:w="25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Depends on</w:t>
            </w:r>
          </w:p>
        </w:tc>
        <w:tc>
          <w:tcPr>
            <w:tcW w:type="dxa" w:w="3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For what</w:t>
            </w:r>
          </w:p>
        </w:tc>
        <w:tc>
          <w:tcPr>
            <w:tcW w:type="dxa" w:w="33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Failure behaviour if unavailable</w:t>
            </w:r>
          </w:p>
        </w:tc>
      </w:tr>
      <w:tr>
        <w:tc>
          <w:tcPr>
            <w:tcW w:type="dxa" w:w="25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Messaging adapter (21)</w:t>
            </w:r>
          </w:p>
        </w:tc>
        <w:tc>
          <w:tcPr>
            <w:tcW w:type="dxa" w:w="3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Actual SMS/email/push delivery</w:t>
            </w:r>
          </w:p>
        </w:tc>
        <w:tc>
          <w:tcPr>
            <w:tcW w:type="dxa" w:w="3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Retry then failover; else FAILED + alert</w:t>
            </w:r>
          </w:p>
        </w:tc>
      </w:tr>
      <w:tr>
        <w:tc>
          <w:tcPr>
            <w:tcW w:type="dxa" w:w="25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Control Plane (12)</w:t>
            </w:r>
          </w:p>
        </w:tc>
        <w:tc>
          <w:tcPr>
            <w:tcW w:type="dxa" w:w="3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Template-trigger &amp; sender config</w:t>
            </w:r>
          </w:p>
        </w:tc>
        <w:tc>
          <w:tcPr>
            <w:tcW w:type="dxa" w:w="3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Fail-safe on cached config</w:t>
            </w:r>
          </w:p>
        </w:tc>
      </w:tr>
      <w:tr>
        <w:tc>
          <w:tcPr>
            <w:tcW w:type="dxa" w:w="25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Persistence (14)</w:t>
            </w:r>
          </w:p>
        </w:tc>
        <w:tc>
          <w:tcPr>
            <w:tcW w:type="dxa" w:w="3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Tenant-isolated storage</w:t>
            </w:r>
          </w:p>
        </w:tc>
        <w:tc>
          <w:tcPr>
            <w:tcW w:type="dxa" w:w="3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Request rejected without tenant context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9. Key Risks &amp; Controls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Sending blank/wrong content — controlled by missing-param → FAILED.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Suppressing critical messages — controlled by non-optional security category.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Double-sending — controlled by dedupe-key idempotency.</w:t>
      </w:r>
    </w:p>
    <w:sectPr>
      <w:headerReference w:type="default" r:id="rId7"/>
      <w:footerReference w:type="default" r:id="rId8"/>
      <w:pgSz w:w="12240" w:h="15840" w:orient="portrait"/>
      <w:pgMar w:top="1200" w:right="1440" w:bottom="120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/>
      <w:jc w:val="center"/>
    </w:pPr>
    <w:r>
      <w:rPr>
        <w:rFonts w:ascii="Calibri" w:cs="Calibri" w:eastAsia="Calibri" w:hAnsi="Calibri"/>
        <w:color w:val="5B6B7A"/>
        <w:sz w:val="17"/>
        <w:szCs w:val="17"/>
      </w:rPr>
      <w:t xml:space="preserve">Confidential — Internal Use   ·   Page </w:t>
    </w:r>
    <w:r>
      <w:rPr>
        <w:rFonts w:ascii="Calibri" w:cs="Calibri" w:eastAsia="Calibri" w:hAnsi="Calibri"/>
        <w:color w:val="5B6B7A"/>
        <w:sz w:val="17"/>
        <w:szCs w:val="17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5B6B7A"/>
        <w:sz w:val="17"/>
        <w:szCs w:val="17"/>
      </w:rPr>
      <w:t xml:space="preserve"> of </w:t>
    </w:r>
    <w:r>
      <w:rPr>
        <w:rFonts w:ascii="Calibri" w:cs="Calibri" w:eastAsia="Calibri" w:hAnsi="Calibri"/>
        <w:color w:val="5B6B7A"/>
        <w:sz w:val="17"/>
        <w:szCs w:val="17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/>
      <w:jc w:val="right"/>
    </w:pPr>
    <w:r>
      <w:rPr>
        <w:rFonts w:ascii="Calibri" w:cs="Calibri" w:eastAsia="Calibri" w:hAnsi="Calibri"/>
        <w:color w:val="0A7E79"/>
        <w:sz w:val="17"/>
        <w:szCs w:val="17"/>
      </w:rPr>
      <w:t xml:space="preserve">Service 13 — Notification Service · Feature Specification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start"/>
      <w:pPr>
        <w:ind w:left="460" w:hanging="23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E2A38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2026-07-22T16:05:30.529Z</dcterms:created>
  <dcterms:modified xsi:type="dcterms:W3CDTF">2026-07-22T16:05:30.529Z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