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before="700"/>
      </w:pPr>
      <w:r>
        <w:rPr>
          <w:rFonts w:ascii="Calibri" w:cs="Calibri" w:eastAsia="Calibri" w:hAnsi="Calibri"/>
          <w:b/>
          <w:bCs/>
          <w:color w:val="0A7E79"/>
          <w:sz w:val="21"/>
          <w:szCs w:val="21"/>
        </w:rPr>
        <w:t xml:space="preserve">FEATURE SPECIFICATION · ADAPTER · Adapter 16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B1F3A"/>
          <w:sz w:val="52"/>
          <w:szCs w:val="52"/>
        </w:rPr>
        <w:t xml:space="preserve">KYC / eKYC Provider Adapter — Feature Specification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A7E79"/>
          <w:sz w:val="27"/>
          <w:szCs w:val="27"/>
        </w:rPr>
        <w:t xml:space="preserve">Document verification, liveness and national-ID / business-registry lookups behind one port</w:t>
      </w:r>
    </w:p>
    <w:p>
      <w:pPr>
        <w:spacing w:after="420"/>
      </w:pPr>
      <w:r>
        <w:rPr>
          <w:rFonts w:ascii="Calibri" w:cs="Calibri" w:eastAsia="Calibri" w:hAnsi="Calibri"/>
          <w:i/>
          <w:iCs/>
          <w:color w:val="5B6B7A"/>
          <w:sz w:val="22"/>
          <w:szCs w:val="22"/>
        </w:rPr>
        <w:t xml:space="preserve">One port over three national schemes plus a global vendor — NADRA, UAE Pass, Absher/Yakeen — for Identity (02).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300"/>
        <w:gridCol w:w="7050"/>
      </w:tblGrid>
      <w:tr>
        <w:trPr>
          <w:tblHeader/>
        </w:trPr>
        <w:tc>
          <w:tcPr>
            <w:tcW w:type="dxa" w:w="2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Field</w:t>
            </w:r>
          </w:p>
        </w:tc>
        <w:tc>
          <w:tcPr>
            <w:tcW w:type="dxa" w:w="70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Details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Component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KYC / eKYC Provider Adapter (Adapter 16)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Type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Shared adapter (SPI)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Runtime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TypeScript — NestJS injectable providers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Owning squad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Platform Adapters (shared)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Consumes / depends 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National ID schemes + eKYC vendors; SPI registry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Consumed by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Identity, KYC/KYB &amp; Onboarding service (02)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companion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16_ekyc_adapter.design.md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Status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stage — nothing built yet; features below are the target scope to build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Version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1.0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Date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17 July 2026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Classification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Confidential — Internal Use</w:t>
            </w:r>
          </w:p>
        </w:tc>
      </w:tr>
    </w:tbl>
    <w:p>
      <w:r>
        <w:br w:type="page"/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1. Overview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This adapter provides document verification, liveness/biometric checks, and national-ID and business-registry lookups behind a single EkycProviderPort. At launch it runs three parallel national integrations — NADRA (PK), UAE Pass/Emirates ID (AE), Absher/Yakeen (SA) — plus a global document vendor for passports and fallback, all satisfying the same port.</w:t>
      </w:r>
    </w:p>
    <w:tbl>
      <w:tblPr>
        <w:tblW w:type="dxa" w:w="9350"/>
        <w:tblBorders>
          <w:top w:val="single" w:color="0A7E79" w:sz="6"/>
          <w:left w:val="single" w:color="0A7E79" w:sz="18"/>
          <w:bottom w:val="single" w:color="0A7E79" w:sz="6"/>
          <w:right w:val="single" w:color="0A7E79" w:sz="6"/>
          <w:insideH w:val="single" w:color="0A7E79" w:sz="6"/>
          <w:insideV w:val="single" w:color="0A7E79" w:sz="6"/>
        </w:tblBorders>
      </w:tblPr>
      <w:tblGrid>
        <w:gridCol w:w="9350"/>
      </w:tblGrid>
      <w:tr>
        <w:tc>
          <w:tcPr>
            <w:tcW w:type="dxa" w:w="9350"/>
            <w:shd w:fill="EAF2F8" w:val="clear"/>
            <w:tcMar>
              <w:top w:type="dxa" w:w="130"/>
              <w:left w:type="dxa" w:w="170"/>
              <w:bottom w:type="dxa" w:w="130"/>
              <w:right w:type="dxa" w:w="170"/>
            </w:tcMar>
          </w:tcPr>
          <w:p>
            <w:pPr>
              <w:spacing w:after="0" w:line="290"/>
            </w:pPr>
            <w:r>
              <w:rPr>
                <w:rFonts w:ascii="Calibri" w:cs="Calibri" w:eastAsia="Calibri" w:hAnsi="Calibri"/>
                <w:b/>
                <w:bCs/>
                <w:color w:val="0A7E79"/>
                <w:sz w:val="21"/>
                <w:szCs w:val="21"/>
              </w:rPr>
              <w:t xml:space="preserve">Single responsibility.  </w:t>
            </w:r>
            <w:r>
              <w:rPr>
                <w:rFonts w:ascii="Calibri" w:cs="Calibri" w:eastAsia="Calibri" w:hAnsi="Calibri"/>
                <w:color w:val="1E2A38"/>
                <w:sz w:val="21"/>
                <w:szCs w:val="21"/>
              </w:rPr>
              <w:t xml:space="preserve">It is the anti-corruption layer to identity-verification providers. It verifies and returns a normalized result; the MANUAL_REVIEW-on-failure decision belongs to Identity (02) — this adapter fails honestly.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2. Scope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2.1 In scope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Document capture/verification via the bound provider.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Liveness/biometric checks.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National-ID lookups (CNIC/Emirates ID/Iqama).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Business-registry (KYB) lookups.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Multiple bindings per market via the SPI registry, plus a mock for sandbox.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2.2 Explicitly out of scope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The MANUAL_REVIEW decision and case management (Identity, 02).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Storing customer profiles (Identity, 02).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Screening (Screening adapter, 15).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3. Feature Catalogue (MoSCoW)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Features grouped by capability area. Priority uses MoSCoW: Must = required for the Pakistan pilot; Should = needed for a complete first release; Could = valuable later; Won't = explicitly deferred (recorded so it is a decision, not an omission).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3.1 Verification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VF1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Document verification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Verify an ID document via the provider; normalized result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VF2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Liveness / biometric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Run a liveness check; anti-spoofing outcome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VF3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National-ID lookup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CNIC (PK) / Emirates ID (AE) / Iqama (SA) registry match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VF4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Business-registry lookup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Company registry verification (KYB)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Should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VF5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Extracted-field return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Return normalized extracted fields (name/DOB/number)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</w:tbl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3.2 Bindings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BD1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NADRA binding (PK)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CNIC/NICOP biometric + registry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BD2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UAE Pass / Emirates ID binding (AE)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Federated verification / Emirates ID lookup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BD3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Absher/Yakeen binding (SA)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Iqama/National ID lookup, in-Kingdom call path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BD4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Global document vendor (fallback)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Passport/doc + liveness for non-residents &amp; fallback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Should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BD5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Mock provider (sandbox)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Deterministic fixtures for sandbox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4. Functional Requirements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Provider timeouts/5xx surface as honest errors; the adapter never fabricates an APPROVED result.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Verification evidence is uploaded to region-local object storage; the adapter returns references, never inline PII.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National-ID numbers are logged masked.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KSA (Yakeen/Absher) calls are pinned to in-Kingdom egress.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All bindings return the identical normalized VerificationResult shape (parity fixtures).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5. Non-Functional Requirements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600"/>
        <w:gridCol w:w="6750"/>
      </w:tblGrid>
      <w:tr>
        <w:trPr>
          <w:tblHeader/>
        </w:trPr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Attribute</w:t>
            </w:r>
          </w:p>
        </w:tc>
        <w:tc>
          <w:tcPr>
            <w:tcW w:type="dxa" w:w="67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Target / requirement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Result normalization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Identical shape across all bindings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Residency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sa flows: zero non-Kingdom egress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Latency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Feeds Identity's &lt;90 s journey target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Contract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Pact provider to Identity (02)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Privacy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Reference-only evidence; masked ID logging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Resilience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Poll fallback when webhooks are late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6. Data Owned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This adapter holds no customer records; it verifies and forwards references. Operationally it manages: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None — Identity (02) owns customers and cases. This adapter is stateless plumbing over providers.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7. Interfaces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7.1 APIs / methods exposed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EkycProviderPort: startDocumentVerification, startLivenessCheck, getVerificationResult, lookupNationalId, lookupBusinessRegistry.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7.2 Events published / consumed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Publishes/consumes: none (port + provider webhooks normalized to the service).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8. Dependencies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500"/>
        <w:gridCol w:w="3550"/>
        <w:gridCol w:w="3300"/>
      </w:tblGrid>
      <w:tr>
        <w:trPr>
          <w:tblHeader/>
        </w:trPr>
        <w:tc>
          <w:tcPr>
            <w:tcW w:type="dxa" w:w="25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Depends on</w:t>
            </w:r>
          </w:p>
        </w:tc>
        <w:tc>
          <w:tcPr>
            <w:tcW w:type="dxa" w:w="3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For what</w:t>
            </w:r>
          </w:p>
        </w:tc>
        <w:tc>
          <w:tcPr>
            <w:tcW w:type="dxa" w:w="3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Failure behaviour if unavailable</w:t>
            </w:r>
          </w:p>
        </w:tc>
      </w:tr>
      <w:tr>
        <w:tc>
          <w:tcPr>
            <w:tcW w:type="dxa" w:w="25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National schemes / vendors</w:t>
            </w:r>
          </w:p>
        </w:tc>
        <w:tc>
          <w:tcPr>
            <w:tcW w:type="dxa" w:w="3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Verification &amp; ID lookups</w:t>
            </w:r>
          </w:p>
        </w:tc>
        <w:tc>
          <w:tcPr>
            <w:tcW w:type="dxa" w:w="3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Honest error ⇒ Identity → MANUAL_REVIEW</w:t>
            </w:r>
          </w:p>
        </w:tc>
      </w:tr>
      <w:tr>
        <w:tc>
          <w:tcPr>
            <w:tcW w:type="dxa" w:w="25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SPI registry</w:t>
            </w:r>
          </w:p>
        </w:tc>
        <w:tc>
          <w:tcPr>
            <w:tcW w:type="dxa" w:w="3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Per-market binding</w:t>
            </w:r>
          </w:p>
        </w:tc>
        <w:tc>
          <w:tcPr>
            <w:tcW w:type="dxa" w:w="3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Bind the correct provider per jurisdiction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9. Key Risks &amp; Controls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Fabricating approval on error — structurally prevented (honest errors).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PII leakage — controlled by reference-only evidence + masked logging.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Residency breach on SA lookups — controlled by in-Kingdom egress pinning + tests.</w:t>
      </w:r>
    </w:p>
    <w:tbl>
      <w:tblPr>
        <w:tblW w:type="dxa" w:w="9350"/>
        <w:tblBorders>
          <w:top w:val="single" w:color="B9770E" w:sz="6"/>
          <w:left w:val="single" w:color="B9770E" w:sz="18"/>
          <w:bottom w:val="single" w:color="B9770E" w:sz="6"/>
          <w:right w:val="single" w:color="B9770E" w:sz="6"/>
          <w:insideH w:val="single" w:color="B9770E" w:sz="6"/>
          <w:insideV w:val="single" w:color="B9770E" w:sz="6"/>
        </w:tblBorders>
      </w:tblPr>
      <w:tblGrid>
        <w:gridCol w:w="9350"/>
      </w:tblGrid>
      <w:tr>
        <w:tc>
          <w:tcPr>
            <w:tcW w:type="dxa" w:w="9350"/>
            <w:shd w:fill="FDEBD0" w:val="clear"/>
            <w:tcMar>
              <w:top w:type="dxa" w:w="130"/>
              <w:left w:type="dxa" w:w="170"/>
              <w:bottom w:type="dxa" w:w="130"/>
              <w:right w:type="dxa" w:w="170"/>
            </w:tcMar>
          </w:tcPr>
          <w:p>
            <w:pPr>
              <w:spacing w:after="0" w:line="290"/>
            </w:pPr>
            <w:r>
              <w:rPr>
                <w:rFonts w:ascii="Calibri" w:cs="Calibri" w:eastAsia="Calibri" w:hAnsi="Calibri"/>
                <w:b/>
                <w:bCs/>
                <w:color w:val="B9770E"/>
                <w:sz w:val="21"/>
                <w:szCs w:val="21"/>
              </w:rPr>
              <w:t xml:space="preserve">Mock-first.  </w:t>
            </w:r>
            <w:r>
              <w:rPr>
                <w:rFonts w:ascii="Calibri" w:cs="Calibri" w:eastAsia="Calibri" w:hAnsi="Calibri"/>
                <w:color w:val="1E2A38"/>
                <w:sz w:val="21"/>
                <w:szCs w:val="21"/>
              </w:rPr>
              <w:t xml:space="preserve">Build against the mock binding first so the Identity walking skeleton works end-to-end, then wire NADRA sandbox — exactly what the hexagonal port is for.</w:t>
            </w:r>
          </w:p>
        </w:tc>
      </w:tr>
    </w:tbl>
    <w:sectPr>
      <w:headerReference w:type="default" r:id="rId7"/>
      <w:footerReference w:type="default" r:id="rId8"/>
      <w:pgSz w:w="12240" w:h="15840" w:orient="portrait"/>
      <w:pgMar w:top="1200" w:right="1440" w:bottom="120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/>
      <w:jc w:val="center"/>
    </w:pPr>
    <w:r>
      <w:rPr>
        <w:rFonts w:ascii="Calibri" w:cs="Calibri" w:eastAsia="Calibri" w:hAnsi="Calibri"/>
        <w:color w:val="5B6B7A"/>
        <w:sz w:val="17"/>
        <w:szCs w:val="17"/>
      </w:rPr>
      <w:t xml:space="preserve">Confidential — Internal Use   ·   Page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B6B7A"/>
        <w:sz w:val="17"/>
        <w:szCs w:val="17"/>
      </w:rPr>
      <w:t xml:space="preserve"> of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/>
      <w:jc w:val="right"/>
    </w:pPr>
    <w:r>
      <w:rPr>
        <w:rFonts w:ascii="Calibri" w:cs="Calibri" w:eastAsia="Calibri" w:hAnsi="Calibri"/>
        <w:color w:val="0A7E79"/>
        <w:sz w:val="17"/>
        <w:szCs w:val="17"/>
      </w:rPr>
      <w:t xml:space="preserve">Adapter 16 — KYC / eKYC Provider Adapter · Feature Specification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start"/>
      <w:pPr>
        <w:ind w:left="460" w:hanging="23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E2A38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2026-07-22T16:08:36.986Z</dcterms:created>
  <dcterms:modified xsi:type="dcterms:W3CDTF">2026-07-22T16:08:36.986Z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