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before="700"/>
      </w:pPr>
      <w:r>
        <w:rPr>
          <w:rFonts w:ascii="Calibri" w:cs="Calibri" w:eastAsia="Calibri" w:hAnsi="Calibri"/>
          <w:b/>
          <w:bCs/>
          <w:color w:val="0A7E79"/>
          <w:sz w:val="21"/>
          <w:szCs w:val="21"/>
        </w:rPr>
        <w:t xml:space="preserve">FEATURE SPECIFICATION · ADAPTER · Adapter 17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B1F3A"/>
          <w:sz w:val="52"/>
          <w:szCs w:val="52"/>
        </w:rPr>
        <w:t xml:space="preserve">FX Rate Provider Adapter — Feature Specification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A7E79"/>
          <w:sz w:val="27"/>
          <w:szCs w:val="27"/>
        </w:rPr>
        <w:t xml:space="preserve">Mid-market exchange rates as an in-process Java library for Ledger and Pricing</w:t>
      </w:r>
    </w:p>
    <w:p>
      <w:pPr>
        <w:spacing w:after="420"/>
      </w:pPr>
      <w:r>
        <w:rPr>
          <w:rFonts w:ascii="Calibri" w:cs="Calibri" w:eastAsia="Calibri" w:hAnsi="Calibri"/>
          <w:i/>
          <w:iCs/>
          <w:color w:val="5B6B7A"/>
          <w:sz w:val="22"/>
          <w:szCs w:val="22"/>
        </w:rPr>
        <w:t xml:space="preserve">Raw mid-market rates with staleness and sanity guards — a JVM library consumed in-process, so there is no network hop on the quote path.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300"/>
        <w:gridCol w:w="7050"/>
      </w:tblGrid>
      <w:tr>
        <w:trPr>
          <w:tblHeader/>
        </w:trPr>
        <w:tc>
          <w:tcPr>
            <w:tcW w:type="dxa" w:w="23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Field</w:t>
            </w:r>
          </w:p>
        </w:tc>
        <w:tc>
          <w:tcPr>
            <w:tcW w:type="dxa" w:w="70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Details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Component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FX Rate Provider Adapter (Adapter 17)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Type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Shared adapter (SPI)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Runtime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Java 21 library module (platform-fx), consumed in-process by 04 &amp; 10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Owning squad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Ledger &amp; Pricing (with Platform Adapters)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Consumes / depends 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FX rate feeds (commercial + central-bank reference)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Consumed by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Ledger (04) and Pricing (10) — in-process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Design companion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17_fx_adapter.design.md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Status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Design stage — nothing built yet; features below are the target scope to build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Version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1.0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Date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17 July 2026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Classification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Confidential — Internal Use</w:t>
            </w:r>
          </w:p>
        </w:tc>
      </w:tr>
    </w:tbl>
    <w:p>
      <w:r>
        <w:br w:type="page"/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1. Overview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This adapter serves current (and, where needed, historical) exchange rates as raw mid-market rates. Margin/spread is applied afterwards by Pricing, never here. It is a Java library consumed in-process by Ledger and Pricing — deliberately not a network service — so the quote path has no FX network hop. It guards against stale and fat-finger rates by failing closed.</w:t>
      </w:r>
    </w:p>
    <w:tbl>
      <w:tblPr>
        <w:tblW w:type="dxa" w:w="9350"/>
        <w:tblBorders>
          <w:top w:val="single" w:color="0A7E79" w:sz="6"/>
          <w:left w:val="single" w:color="0A7E79" w:sz="18"/>
          <w:bottom w:val="single" w:color="0A7E79" w:sz="6"/>
          <w:right w:val="single" w:color="0A7E79" w:sz="6"/>
          <w:insideH w:val="single" w:color="0A7E79" w:sz="6"/>
          <w:insideV w:val="single" w:color="0A7E79" w:sz="6"/>
        </w:tblBorders>
      </w:tblPr>
      <w:tblGrid>
        <w:gridCol w:w="9350"/>
      </w:tblGrid>
      <w:tr>
        <w:tc>
          <w:tcPr>
            <w:tcW w:type="dxa" w:w="9350"/>
            <w:shd w:fill="EAF2F8" w:val="clear"/>
            <w:tcMar>
              <w:top w:type="dxa" w:w="130"/>
              <w:left w:type="dxa" w:w="170"/>
              <w:bottom w:type="dxa" w:w="130"/>
              <w:right w:type="dxa" w:w="170"/>
            </w:tcMar>
          </w:tcPr>
          <w:p>
            <w:pPr>
              <w:spacing w:after="0" w:line="290"/>
            </w:pPr>
            <w:r>
              <w:rPr>
                <w:rFonts w:ascii="Calibri" w:cs="Calibri" w:eastAsia="Calibri" w:hAnsi="Calibri"/>
                <w:b/>
                <w:bCs/>
                <w:color w:val="0A7E79"/>
                <w:sz w:val="21"/>
                <w:szCs w:val="21"/>
              </w:rPr>
              <w:t xml:space="preserve">Single responsibility.  </w:t>
            </w:r>
            <w:r>
              <w:rPr>
                <w:rFonts w:ascii="Calibri" w:cs="Calibri" w:eastAsia="Calibri" w:hAnsi="Calibri"/>
                <w:color w:val="1E2A38"/>
                <w:sz w:val="21"/>
                <w:szCs w:val="21"/>
              </w:rPr>
              <w:t xml:space="preserve">It returns exact mid-market rates and refuses to serve stale or out-of-band ones. It never applies margin (that is Pricing, 10) and never rounds money (that is the Money type).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2. Scope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2.1 In scope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Current mid-rate retrieval for a currency pair.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Historical rate retrieval (for reporting/reconciliation).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Rate snapshots bound into a quote.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Staleness tolerance and sanity-band (fat-finger) guards.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Multiple feed bindings (primary/secondary/central-bank reference).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2.2 Explicitly out of scope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Applying FX margin/spread (Pricing, 10).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Rounding money (the Money value object).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Being a network service (it is an in-process library).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3. Feature Catalogue (MoSCoW)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Features grouped by capability area. Priority uses MoSCoW: Must = required for the Pakistan pilot; Should = needed for a complete first release; Could = valuable later; Won't = explicitly deferred (recorded so it is a decision, not an omission).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3.1 Rates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RT1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Current mid-rate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Return the mid-market rate for a pair, or throw if stale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RT2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Historical rate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Return a past rate for reporting/reconciliation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Should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RT3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Rate snapshot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Bundle rates into an immutable snapshot for a quote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RT4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Launch-pair coverage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PKR↔USD/AED/SAR, AED↔USD/SAR, SAR↔USD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</w:tbl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3.2 Guards &amp; feeds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GF1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Staleness tolerance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Throw StaleRateException past the tolerance window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GF2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Sanity-band guard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Reject a rate deviating too far from last-good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GF3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Primary/secondary feeds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Fail over between commercial feeds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GF4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Central-bank reference feed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SBP/CBUAE/SAMA reference for cross-check/reporting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Should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GF5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In-process cache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Caffeine cache with refresh/expiry per pair class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4. Functional Requirements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Rates are raw mid-market only; no margin is ever applied inside this adapter.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A rate older than the staleness tolerance throws rather than returning a last-good value silently.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A rate outside the sanity band is rejected (fat-finger guard); quoting halts (fail closed).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It returns BigDecimal rates and never rounds money.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Consumed in-process by Ledger and Pricing — no network hop on the quote path.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5. Non-Functional Requirements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600"/>
        <w:gridCol w:w="6750"/>
      </w:tblGrid>
      <w:tr>
        <w:trPr>
          <w:tblHeader/>
        </w:trPr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Attribute</w:t>
            </w:r>
          </w:p>
        </w:tc>
        <w:tc>
          <w:tcPr>
            <w:tcW w:type="dxa" w:w="67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Target / requirement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Quote-path latency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Zero network hop (in-process)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Freshness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Configurable refresh (e.g. 5s majors) + hard staleness stop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Safety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Out-of-band rates rejected; determinism via snapshots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Correctness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BigDecimal end-to-end; property-tested pair/rate validation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Resilience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Primary→secondary failover under load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Cross-check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Daily central-bank vs commercial deviation alarm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6. Data Owned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This adapter owns no persistent business data; it caches and validates rates in memory. It manages: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None persisted long-term — it caches rates in-process. Historical rates come from the feed, not a store it owns.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7. Interfaces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7.1 APIs / methods exposed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FxRatePort (Java): midRate(pair, asOf), historicalRate(pair, date), snapshot(pairs).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7.2 Events published / consumed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Publishes/consumes: none (in-process library).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8. Dependencies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500"/>
        <w:gridCol w:w="3550"/>
        <w:gridCol w:w="3300"/>
      </w:tblGrid>
      <w:tr>
        <w:trPr>
          <w:tblHeader/>
        </w:trPr>
        <w:tc>
          <w:tcPr>
            <w:tcW w:type="dxa" w:w="25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Depends on</w:t>
            </w:r>
          </w:p>
        </w:tc>
        <w:tc>
          <w:tcPr>
            <w:tcW w:type="dxa" w:w="3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For what</w:t>
            </w:r>
          </w:p>
        </w:tc>
        <w:tc>
          <w:tcPr>
            <w:tcW w:type="dxa" w:w="33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Failure behaviour if unavailable</w:t>
            </w:r>
          </w:p>
        </w:tc>
      </w:tr>
      <w:tr>
        <w:tc>
          <w:tcPr>
            <w:tcW w:type="dxa" w:w="25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Commercial FX feeds</w:t>
            </w:r>
          </w:p>
        </w:tc>
        <w:tc>
          <w:tcPr>
            <w:tcW w:type="dxa" w:w="3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Real-time mid rates</w:t>
            </w:r>
          </w:p>
        </w:tc>
        <w:tc>
          <w:tcPr>
            <w:tcW w:type="dxa" w:w="3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Fail over primary→secondary; else quoting halts</w:t>
            </w:r>
          </w:p>
        </w:tc>
      </w:tr>
      <w:tr>
        <w:tc>
          <w:tcPr>
            <w:tcW w:type="dxa" w:w="25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Central-bank feeds</w:t>
            </w:r>
          </w:p>
        </w:tc>
        <w:tc>
          <w:tcPr>
            <w:tcW w:type="dxa" w:w="3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Reference rates for cross-check</w:t>
            </w:r>
          </w:p>
        </w:tc>
        <w:tc>
          <w:tcPr>
            <w:tcW w:type="dxa" w:w="3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Cross-check alarm only; not the live source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9. Key Risks &amp; Controls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Serving a stale rate silently — controlled by staleness-throw.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Fat-finger rate — controlled by the sanity-band guard.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Quote/execution drift — controlled by rate snapshots bound to quotes.</w:t>
      </w:r>
    </w:p>
    <w:tbl>
      <w:tblPr>
        <w:tblW w:type="dxa" w:w="9350"/>
        <w:tblBorders>
          <w:top w:val="single" w:color="B9770E" w:sz="6"/>
          <w:left w:val="single" w:color="B9770E" w:sz="18"/>
          <w:bottom w:val="single" w:color="B9770E" w:sz="6"/>
          <w:right w:val="single" w:color="B9770E" w:sz="6"/>
          <w:insideH w:val="single" w:color="B9770E" w:sz="6"/>
          <w:insideV w:val="single" w:color="B9770E" w:sz="6"/>
        </w:tblBorders>
      </w:tblPr>
      <w:tblGrid>
        <w:gridCol w:w="9350"/>
      </w:tblGrid>
      <w:tr>
        <w:tc>
          <w:tcPr>
            <w:tcW w:type="dxa" w:w="9350"/>
            <w:shd w:fill="FDEBD0" w:val="clear"/>
            <w:tcMar>
              <w:top w:type="dxa" w:w="130"/>
              <w:left w:type="dxa" w:w="170"/>
              <w:bottom w:type="dxa" w:w="130"/>
              <w:right w:type="dxa" w:w="170"/>
            </w:tcMar>
          </w:tcPr>
          <w:p>
            <w:pPr>
              <w:spacing w:after="0" w:line="290"/>
            </w:pPr>
            <w:r>
              <w:rPr>
                <w:rFonts w:ascii="Calibri" w:cs="Calibri" w:eastAsia="Calibri" w:hAnsi="Calibri"/>
                <w:b/>
                <w:bCs/>
                <w:color w:val="B9770E"/>
                <w:sz w:val="21"/>
                <w:szCs w:val="21"/>
              </w:rPr>
              <w:t xml:space="preserve">Why it's Java and in-process.  </w:t>
            </w:r>
            <w:r>
              <w:rPr>
                <w:rFonts w:ascii="Calibri" w:cs="Calibri" w:eastAsia="Calibri" w:hAnsi="Calibri"/>
                <w:color w:val="1E2A38"/>
                <w:sz w:val="21"/>
                <w:szCs w:val="21"/>
              </w:rPr>
              <w:t xml:space="preserve">The third JVM component. It lives inside banking-app next to its consumers so rate handling stays next to the BigDecimal math and off the network on the quote path — it is not in platform-adapters.</w:t>
            </w:r>
          </w:p>
        </w:tc>
      </w:tr>
    </w:tbl>
    <w:sectPr>
      <w:headerReference w:type="default" r:id="rId7"/>
      <w:footerReference w:type="default" r:id="rId8"/>
      <w:pgSz w:w="12240" w:h="15840" w:orient="portrait"/>
      <w:pgMar w:top="1200" w:right="1440" w:bottom="120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/>
      <w:jc w:val="center"/>
    </w:pPr>
    <w:r>
      <w:rPr>
        <w:rFonts w:ascii="Calibri" w:cs="Calibri" w:eastAsia="Calibri" w:hAnsi="Calibri"/>
        <w:color w:val="5B6B7A"/>
        <w:sz w:val="17"/>
        <w:szCs w:val="17"/>
      </w:rPr>
      <w:t xml:space="preserve">Confidential — Internal Use   ·   Page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B6B7A"/>
        <w:sz w:val="17"/>
        <w:szCs w:val="17"/>
      </w:rPr>
      <w:t xml:space="preserve"> of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/>
      <w:jc w:val="right"/>
    </w:pPr>
    <w:r>
      <w:rPr>
        <w:rFonts w:ascii="Calibri" w:cs="Calibri" w:eastAsia="Calibri" w:hAnsi="Calibri"/>
        <w:color w:val="0A7E79"/>
        <w:sz w:val="17"/>
        <w:szCs w:val="17"/>
      </w:rPr>
      <w:t xml:space="preserve">Adapter 17 — FX Rate Provider Adapter · Feature Specification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start"/>
      <w:pPr>
        <w:ind w:left="460" w:hanging="23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E2A38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2026-07-22T16:08:37.032Z</dcterms:created>
  <dcterms:modified xsi:type="dcterms:W3CDTF">2026-07-22T16:08:37.032Z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