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700"/>
      </w:pPr>
      <w:r>
        <w:rPr>
          <w:rFonts w:ascii="Calibri" w:cs="Calibri" w:eastAsia="Calibri" w:hAnsi="Calibri"/>
          <w:b/>
          <w:bCs/>
          <w:color w:val="0A7E79"/>
          <w:sz w:val="21"/>
          <w:szCs w:val="21"/>
        </w:rPr>
        <w:t xml:space="preserve">FEATURE SPECIFICATION · ADAPTER · Adapter 18</w:t>
      </w:r>
    </w:p>
    <w:p>
      <w:pPr>
        <w:spacing w:after="200"/>
      </w:pPr>
      <w:r>
        <w:rPr>
          <w:rFonts w:ascii="Calibri" w:cs="Calibri" w:eastAsia="Calibri" w:hAnsi="Calibri"/>
          <w:b/>
          <w:bCs/>
          <w:color w:val="0B1F3A"/>
          <w:sz w:val="52"/>
          <w:szCs w:val="52"/>
        </w:rPr>
        <w:t xml:space="preserve">Core Banking Host Adapter — Feature Specification</w:t>
      </w:r>
    </w:p>
    <w:p>
      <w:pPr>
        <w:spacing w:after="200"/>
      </w:pPr>
      <w:r>
        <w:rPr>
          <w:rFonts w:ascii="Calibri" w:cs="Calibri" w:eastAsia="Calibri" w:hAnsi="Calibri"/>
          <w:b/>
          <w:bCs/>
          <w:color w:val="0A7E79"/>
          <w:sz w:val="27"/>
          <w:szCs w:val="27"/>
        </w:rPr>
        <w:t xml:space="preserve">Integrates a tenant's existing core-banking system behind the platform's ports</w:t>
      </w:r>
    </w:p>
    <w:p>
      <w:pPr>
        <w:spacing w:after="420"/>
      </w:pPr>
      <w:r>
        <w:rPr>
          <w:rFonts w:ascii="Calibri" w:cs="Calibri" w:eastAsia="Calibri" w:hAnsi="Calibri"/>
          <w:i/>
          <w:iCs/>
          <w:color w:val="5B6B7A"/>
          <w:sz w:val="22"/>
          <w:szCs w:val="22"/>
        </w:rPr>
        <w:t xml:space="preserve">For tenants who keep their own core — it maps our account/posting ports onto their host so the platform stays the system of engagement.</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300"/>
        <w:gridCol w:w="7050"/>
      </w:tblGrid>
      <w:tr>
        <w:trPr>
          <w:tblHeader/>
        </w:trPr>
        <w:tc>
          <w:tcPr>
            <w:tcW w:type="dxa" w:w="23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Field</w:t>
            </w:r>
          </w:p>
        </w:tc>
        <w:tc>
          <w:tcPr>
            <w:tcW w:type="dxa" w:w="70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Details</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Component</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Core Banking Host Adapter (Adapter 18)</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Type</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Shared adapter (SPI)</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Runtime</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TypeScript — NestJS injectable providers</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Owning squad</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Platform Adapters (shared)</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Consumes / depends 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Tenant core-banking hosts (Temenos/Flexcube/proprietary); SPI registry</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Consumed by</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Wallets (06), Payments (05) — when a tenant runs its own core</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Design companion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18_core_banking_adapter.design.md</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Status</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Design stage — nothing built yet; features below are the target scope to build</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Version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1.0</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Date</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17 July 2026</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Classification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Confidential — Internal Use</w:t>
            </w:r>
          </w:p>
        </w:tc>
      </w:tr>
    </w:tbl>
    <w:p>
      <w:r>
        <w:br w:type="page"/>
      </w:r>
    </w:p>
    <w:p>
      <w:pPr>
        <w:pStyle w:val="Heading1"/>
        <w:spacing w:after="200" w:before="340"/>
      </w:pPr>
      <w:r>
        <w:rPr>
          <w:rFonts w:ascii="Calibri" w:cs="Calibri" w:eastAsia="Calibri" w:hAnsi="Calibri"/>
          <w:b/>
          <w:bCs/>
          <w:color w:val="0B1F3A"/>
          <w:sz w:val="30"/>
          <w:szCs w:val="30"/>
        </w:rPr>
        <w:t xml:space="preserve">1. Overview</w:t>
      </w:r>
    </w:p>
    <w:p>
      <w:pPr>
        <w:spacing w:after="160" w:line="300"/>
      </w:pPr>
      <w:r>
        <w:rPr>
          <w:rFonts w:ascii="Calibri" w:cs="Calibri" w:eastAsia="Calibri" w:hAnsi="Calibri"/>
          <w:color w:val="1E2A38"/>
          <w:sz w:val="22"/>
          <w:szCs w:val="22"/>
        </w:rPr>
        <w:t xml:space="preserve">This adapter integrates a tenant's existing core-banking system (Temenos, Finacle/Flexcube, or a proprietary host) behind the platform's account and posting ports. It exists for tenants who retain their core and use the platform as the system of engagement rather than the system of record. It is only deployed for such tenants; a platform-native tenant never runs it.</w:t>
      </w:r>
    </w:p>
    <w:tbl>
      <w:tblPr>
        <w:tblW w:type="dxa" w:w="9350"/>
        <w:tblBorders>
          <w:top w:val="single" w:color="0A7E79" w:sz="6"/>
          <w:left w:val="single" w:color="0A7E79" w:sz="18"/>
          <w:bottom w:val="single" w:color="0A7E79" w:sz="6"/>
          <w:right w:val="single" w:color="0A7E79" w:sz="6"/>
          <w:insideH w:val="single" w:color="0A7E79" w:sz="6"/>
          <w:insideV w:val="single" w:color="0A7E79" w:sz="6"/>
        </w:tblBorders>
      </w:tblPr>
      <w:tblGrid>
        <w:gridCol w:w="9350"/>
      </w:tblGrid>
      <w:tr>
        <w:tc>
          <w:tcPr>
            <w:tcW w:type="dxa" w:w="9350"/>
            <w:shd w:fill="EAF2F8" w:val="clear"/>
            <w:tcMar>
              <w:top w:type="dxa" w:w="130"/>
              <w:left w:type="dxa" w:w="170"/>
              <w:bottom w:type="dxa" w:w="130"/>
              <w:right w:type="dxa" w:w="170"/>
            </w:tcMar>
          </w:tcPr>
          <w:p>
            <w:pPr>
              <w:spacing w:after="0" w:line="290"/>
            </w:pPr>
            <w:r>
              <w:rPr>
                <w:rFonts w:ascii="Calibri" w:cs="Calibri" w:eastAsia="Calibri" w:hAnsi="Calibri"/>
                <w:b/>
                <w:bCs/>
                <w:color w:val="0A7E79"/>
                <w:sz w:val="21"/>
                <w:szCs w:val="21"/>
              </w:rPr>
              <w:t xml:space="preserve">Single responsibility.  </w:t>
            </w:r>
            <w:r>
              <w:rPr>
                <w:rFonts w:ascii="Calibri" w:cs="Calibri" w:eastAsia="Calibri" w:hAnsi="Calibri"/>
                <w:color w:val="1E2A38"/>
                <w:sz w:val="21"/>
                <w:szCs w:val="21"/>
              </w:rPr>
              <w:t xml:space="preserve">It is the anti-corruption layer to a third-party core. It reconciles the platform's model with the host's, honestly reporting host failures rather than masking them; it does not become a second ledger.</w:t>
            </w:r>
          </w:p>
        </w:tc>
      </w:tr>
    </w:tbl>
    <w:p>
      <w:pPr>
        <w:pStyle w:val="Heading1"/>
        <w:spacing w:after="200" w:before="340"/>
      </w:pPr>
      <w:r>
        <w:rPr>
          <w:rFonts w:ascii="Calibri" w:cs="Calibri" w:eastAsia="Calibri" w:hAnsi="Calibri"/>
          <w:b/>
          <w:bCs/>
          <w:color w:val="0B1F3A"/>
          <w:sz w:val="30"/>
          <w:szCs w:val="30"/>
        </w:rPr>
        <w:t xml:space="preserve">2. Scope</w:t>
      </w:r>
    </w:p>
    <w:p>
      <w:pPr>
        <w:pStyle w:val="Heading2"/>
        <w:spacing w:after="160" w:before="260"/>
      </w:pPr>
      <w:r>
        <w:rPr>
          <w:rFonts w:ascii="Calibri" w:cs="Calibri" w:eastAsia="Calibri" w:hAnsi="Calibri"/>
          <w:b/>
          <w:bCs/>
          <w:color w:val="0A7E79"/>
          <w:sz w:val="25"/>
          <w:szCs w:val="25"/>
        </w:rPr>
        <w:t xml:space="preserve">2.1 In scope</w:t>
      </w:r>
    </w:p>
    <w:p>
      <w:pPr>
        <w:pStyle w:val="ListParagraph"/>
        <w:numPr>
          <w:ilvl w:val="0"/>
          <w:numId w:val="2"/>
        </w:numPr>
        <w:spacing w:after="120" w:line="290"/>
      </w:pPr>
      <w:r>
        <w:rPr>
          <w:rFonts w:ascii="Calibri" w:cs="Calibri" w:eastAsia="Calibri" w:hAnsi="Calibri"/>
          <w:color w:val="1E2A38"/>
          <w:sz w:val="22"/>
          <w:szCs w:val="22"/>
        </w:rPr>
        <w:t xml:space="preserve">Account read/lookup against the host.</w:t>
      </w:r>
    </w:p>
    <w:p>
      <w:pPr>
        <w:pStyle w:val="ListParagraph"/>
        <w:numPr>
          <w:ilvl w:val="0"/>
          <w:numId w:val="2"/>
        </w:numPr>
        <w:spacing w:after="120" w:line="290"/>
      </w:pPr>
      <w:r>
        <w:rPr>
          <w:rFonts w:ascii="Calibri" w:cs="Calibri" w:eastAsia="Calibri" w:hAnsi="Calibri"/>
          <w:color w:val="1E2A38"/>
          <w:sz w:val="22"/>
          <w:szCs w:val="22"/>
        </w:rPr>
        <w:t xml:space="preserve">Posting/transaction submission to the host (idempotent).</w:t>
      </w:r>
    </w:p>
    <w:p>
      <w:pPr>
        <w:pStyle w:val="ListParagraph"/>
        <w:numPr>
          <w:ilvl w:val="0"/>
          <w:numId w:val="2"/>
        </w:numPr>
        <w:spacing w:after="120" w:line="290"/>
      </w:pPr>
      <w:r>
        <w:rPr>
          <w:rFonts w:ascii="Calibri" w:cs="Calibri" w:eastAsia="Calibri" w:hAnsi="Calibri"/>
          <w:color w:val="1E2A38"/>
          <w:sz w:val="22"/>
          <w:szCs w:val="22"/>
        </w:rPr>
        <w:t xml:space="preserve">Balance retrieval from the host.</w:t>
      </w:r>
    </w:p>
    <w:p>
      <w:pPr>
        <w:pStyle w:val="ListParagraph"/>
        <w:numPr>
          <w:ilvl w:val="0"/>
          <w:numId w:val="2"/>
        </w:numPr>
        <w:spacing w:after="120" w:line="290"/>
      </w:pPr>
      <w:r>
        <w:rPr>
          <w:rFonts w:ascii="Calibri" w:cs="Calibri" w:eastAsia="Calibri" w:hAnsi="Calibri"/>
          <w:color w:val="1E2A38"/>
          <w:sz w:val="22"/>
          <w:szCs w:val="22"/>
        </w:rPr>
        <w:t xml:space="preserve">Host-model ↔ platform-model mapping (accounts, postings, statuses).</w:t>
      </w:r>
    </w:p>
    <w:p>
      <w:pPr>
        <w:pStyle w:val="ListParagraph"/>
        <w:numPr>
          <w:ilvl w:val="0"/>
          <w:numId w:val="2"/>
        </w:numPr>
        <w:spacing w:after="120" w:line="290"/>
      </w:pPr>
      <w:r>
        <w:rPr>
          <w:rFonts w:ascii="Calibri" w:cs="Calibri" w:eastAsia="Calibri" w:hAnsi="Calibri"/>
          <w:color w:val="1E2A38"/>
          <w:sz w:val="22"/>
          <w:szCs w:val="22"/>
        </w:rPr>
        <w:t xml:space="preserve">Async host reconciliation where the host posts eventually.</w:t>
      </w:r>
    </w:p>
    <w:p>
      <w:pPr>
        <w:pStyle w:val="Heading2"/>
        <w:spacing w:after="160" w:before="260"/>
      </w:pPr>
      <w:r>
        <w:rPr>
          <w:rFonts w:ascii="Calibri" w:cs="Calibri" w:eastAsia="Calibri" w:hAnsi="Calibri"/>
          <w:b/>
          <w:bCs/>
          <w:color w:val="0A7E79"/>
          <w:sz w:val="25"/>
          <w:szCs w:val="25"/>
        </w:rPr>
        <w:t xml:space="preserve">2.2 Explicitly out of scope</w:t>
      </w:r>
    </w:p>
    <w:p>
      <w:pPr>
        <w:pStyle w:val="ListParagraph"/>
        <w:numPr>
          <w:ilvl w:val="0"/>
          <w:numId w:val="2"/>
        </w:numPr>
        <w:spacing w:after="120" w:line="290"/>
      </w:pPr>
      <w:r>
        <w:rPr>
          <w:rFonts w:ascii="Calibri" w:cs="Calibri" w:eastAsia="Calibri" w:hAnsi="Calibri"/>
          <w:color w:val="1E2A38"/>
          <w:sz w:val="22"/>
          <w:szCs w:val="22"/>
        </w:rPr>
        <w:t xml:space="preserve">Being the ledger for platform-native tenants (Ledger, 04).</w:t>
      </w:r>
    </w:p>
    <w:p>
      <w:pPr>
        <w:pStyle w:val="ListParagraph"/>
        <w:numPr>
          <w:ilvl w:val="0"/>
          <w:numId w:val="2"/>
        </w:numPr>
        <w:spacing w:after="120" w:line="290"/>
      </w:pPr>
      <w:r>
        <w:rPr>
          <w:rFonts w:ascii="Calibri" w:cs="Calibri" w:eastAsia="Calibri" w:hAnsi="Calibri"/>
          <w:color w:val="1E2A38"/>
          <w:sz w:val="22"/>
          <w:szCs w:val="22"/>
        </w:rPr>
        <w:t xml:space="preserve">Business logic; it is a mapping/integration layer.</w:t>
      </w:r>
    </w:p>
    <w:p>
      <w:pPr>
        <w:pStyle w:val="ListParagraph"/>
        <w:numPr>
          <w:ilvl w:val="0"/>
          <w:numId w:val="2"/>
        </w:numPr>
        <w:spacing w:after="120" w:line="290"/>
      </w:pPr>
      <w:r>
        <w:rPr>
          <w:rFonts w:ascii="Calibri" w:cs="Calibri" w:eastAsia="Calibri" w:hAnsi="Calibri"/>
          <w:color w:val="1E2A38"/>
          <w:sz w:val="22"/>
          <w:szCs w:val="22"/>
        </w:rPr>
        <w:t xml:space="preserve">Deciding which tenants use it (Control Plane, 12).</w:t>
      </w:r>
    </w:p>
    <w:p>
      <w:pPr>
        <w:pStyle w:val="Heading1"/>
        <w:spacing w:after="200" w:before="340"/>
      </w:pPr>
      <w:r>
        <w:rPr>
          <w:rFonts w:ascii="Calibri" w:cs="Calibri" w:eastAsia="Calibri" w:hAnsi="Calibri"/>
          <w:b/>
          <w:bCs/>
          <w:color w:val="0B1F3A"/>
          <w:sz w:val="30"/>
          <w:szCs w:val="30"/>
        </w:rPr>
        <w:t xml:space="preserve">3. Feature Catalogue (MoSCoW)</w:t>
      </w:r>
    </w:p>
    <w:p>
      <w:pPr>
        <w:spacing w:after="160" w:line="300"/>
      </w:pPr>
      <w:r>
        <w:rPr>
          <w:rFonts w:ascii="Calibri" w:cs="Calibri" w:eastAsia="Calibri" w:hAnsi="Calibri"/>
          <w:color w:val="1E2A38"/>
          <w:sz w:val="22"/>
          <w:szCs w:val="22"/>
        </w:rPr>
        <w:t xml:space="preserve">Features grouped by capability area. Priority uses MoSCoW: Must = required for the Pakistan pilot; Should = needed for a complete first release; Could = valuable later; Won't = explicitly deferred (recorded so it is a decision, not an omission).</w:t>
      </w:r>
    </w:p>
    <w:p>
      <w:pPr>
        <w:pStyle w:val="Heading2"/>
        <w:spacing w:after="160" w:before="260"/>
      </w:pPr>
      <w:r>
        <w:rPr>
          <w:rFonts w:ascii="Calibri" w:cs="Calibri" w:eastAsia="Calibri" w:hAnsi="Calibri"/>
          <w:b/>
          <w:bCs/>
          <w:color w:val="0A7E79"/>
          <w:sz w:val="25"/>
          <w:szCs w:val="25"/>
        </w:rPr>
        <w:t xml:space="preserve">3.1 Host integration</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HI1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Account lookup</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Read account/customer data from the host</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HI2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Posting submission</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Submit a transaction to the host idempotently</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HI3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Balance retrieval</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Read host balances</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HI4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Status/response mapping</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Map host statuses/errors to platform semantics</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HI5</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Host health check</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Expose host availability</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bl>
    <w:p>
      <w:pPr>
        <w:pStyle w:val="Heading2"/>
        <w:spacing w:after="160" w:before="260"/>
      </w:pPr>
      <w:r>
        <w:rPr>
          <w:rFonts w:ascii="Calibri" w:cs="Calibri" w:eastAsia="Calibri" w:hAnsi="Calibri"/>
          <w:b/>
          <w:bCs/>
          <w:color w:val="0A7E79"/>
          <w:sz w:val="25"/>
          <w:szCs w:val="25"/>
        </w:rPr>
        <w:t xml:space="preserve">3.2 Bindings &amp; reconciliation</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BR1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Per-host bindings</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Temenos / Flexcube / proprietary bindings via SPI</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BR2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Idempotent submission</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Dedupe on host reference to avoid double-posting</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BR3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Async reconciliation</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Reconcile when the host confirms eventually</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BR4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Protocol adapters (ISO 8583 / REST / SOAP)</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Speak the host's protocol</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bl>
    <w:p>
      <w:pPr>
        <w:pStyle w:val="Heading1"/>
        <w:spacing w:after="200" w:before="340"/>
      </w:pPr>
      <w:r>
        <w:rPr>
          <w:rFonts w:ascii="Calibri" w:cs="Calibri" w:eastAsia="Calibri" w:hAnsi="Calibri"/>
          <w:b/>
          <w:bCs/>
          <w:color w:val="0B1F3A"/>
          <w:sz w:val="30"/>
          <w:szCs w:val="30"/>
        </w:rPr>
        <w:t xml:space="preserve">4. Functional Requirements</w:t>
      </w:r>
    </w:p>
    <w:p>
      <w:pPr>
        <w:pStyle w:val="ListParagraph"/>
        <w:numPr>
          <w:ilvl w:val="0"/>
          <w:numId w:val="2"/>
        </w:numPr>
        <w:spacing w:after="120" w:line="290"/>
      </w:pPr>
      <w:r>
        <w:rPr>
          <w:rFonts w:ascii="Calibri" w:cs="Calibri" w:eastAsia="Calibri" w:hAnsi="Calibri"/>
          <w:color w:val="1E2A38"/>
          <w:sz w:val="22"/>
          <w:szCs w:val="22"/>
        </w:rPr>
        <w:t xml:space="preserve">Posting submission is idempotent by host reference; retries never double-post to the host.</w:t>
      </w:r>
    </w:p>
    <w:p>
      <w:pPr>
        <w:pStyle w:val="ListParagraph"/>
        <w:numPr>
          <w:ilvl w:val="0"/>
          <w:numId w:val="2"/>
        </w:numPr>
        <w:spacing w:after="120" w:line="290"/>
      </w:pPr>
      <w:r>
        <w:rPr>
          <w:rFonts w:ascii="Calibri" w:cs="Calibri" w:eastAsia="Calibri" w:hAnsi="Calibri"/>
          <w:color w:val="1E2A38"/>
          <w:sz w:val="22"/>
          <w:szCs w:val="22"/>
        </w:rPr>
        <w:t xml:space="preserve">Host timeouts/errors surface honestly as integration errors, mapped to platform semantics — never a fabricated success.</w:t>
      </w:r>
    </w:p>
    <w:p>
      <w:pPr>
        <w:pStyle w:val="ListParagraph"/>
        <w:numPr>
          <w:ilvl w:val="0"/>
          <w:numId w:val="2"/>
        </w:numPr>
        <w:spacing w:after="120" w:line="290"/>
      </w:pPr>
      <w:r>
        <w:rPr>
          <w:rFonts w:ascii="Calibri" w:cs="Calibri" w:eastAsia="Calibri" w:hAnsi="Calibri"/>
          <w:color w:val="1E2A38"/>
          <w:sz w:val="22"/>
          <w:szCs w:val="22"/>
        </w:rPr>
        <w:t xml:space="preserve">Each host binding maps to the identical platform port shape (parity fixtures).</w:t>
      </w:r>
    </w:p>
    <w:p>
      <w:pPr>
        <w:pStyle w:val="ListParagraph"/>
        <w:numPr>
          <w:ilvl w:val="0"/>
          <w:numId w:val="2"/>
        </w:numPr>
        <w:spacing w:after="120" w:line="290"/>
      </w:pPr>
      <w:r>
        <w:rPr>
          <w:rFonts w:ascii="Calibri" w:cs="Calibri" w:eastAsia="Calibri" w:hAnsi="Calibri"/>
          <w:color w:val="1E2A38"/>
          <w:sz w:val="22"/>
          <w:szCs w:val="22"/>
        </w:rPr>
        <w:t xml:space="preserve">Every call carries tenant_id and app_id.</w:t>
      </w:r>
    </w:p>
    <w:p>
      <w:pPr>
        <w:pStyle w:val="Heading1"/>
        <w:spacing w:after="200" w:before="340"/>
      </w:pPr>
      <w:r>
        <w:rPr>
          <w:rFonts w:ascii="Calibri" w:cs="Calibri" w:eastAsia="Calibri" w:hAnsi="Calibri"/>
          <w:b/>
          <w:bCs/>
          <w:color w:val="0B1F3A"/>
          <w:sz w:val="30"/>
          <w:szCs w:val="30"/>
        </w:rPr>
        <w:t xml:space="preserve">5. Non-Functional Requirements</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600"/>
        <w:gridCol w:w="6750"/>
      </w:tblGrid>
      <w:tr>
        <w:trPr>
          <w:tblHeader/>
        </w:trPr>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Attribute</w:t>
            </w:r>
          </w:p>
        </w:tc>
        <w:tc>
          <w:tcPr>
            <w:tcW w:type="dxa" w:w="67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Target / requirement</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Latency</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Bounded by the host; circuit-broken and timed out</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Idempotency</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No double-posting under retry</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Contract</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Pact provider to its consuming services</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Resilience</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Circuit breaker + bounded retries per host</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Isolation</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tenant/app-scoped</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Deployment</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Only deployed for tenants that use it</w:t>
            </w:r>
          </w:p>
        </w:tc>
      </w:tr>
    </w:tbl>
    <w:p>
      <w:pPr>
        <w:pStyle w:val="Heading1"/>
        <w:spacing w:after="200" w:before="340"/>
      </w:pPr>
      <w:r>
        <w:rPr>
          <w:rFonts w:ascii="Calibri" w:cs="Calibri" w:eastAsia="Calibri" w:hAnsi="Calibri"/>
          <w:b/>
          <w:bCs/>
          <w:color w:val="0B1F3A"/>
          <w:sz w:val="30"/>
          <w:szCs w:val="30"/>
        </w:rPr>
        <w:t xml:space="preserve">6. Data Owned</w:t>
      </w:r>
    </w:p>
    <w:p>
      <w:pPr>
        <w:spacing w:after="160" w:line="300"/>
      </w:pPr>
      <w:r>
        <w:rPr>
          <w:rFonts w:ascii="Calibri" w:cs="Calibri" w:eastAsia="Calibri" w:hAnsi="Calibri"/>
          <w:color w:val="1E2A38"/>
          <w:sz w:val="22"/>
          <w:szCs w:val="22"/>
        </w:rPr>
        <w:t xml:space="preserve">This adapter is not a data owner (the host is). Operationally it manages:</w:t>
      </w:r>
    </w:p>
    <w:p>
      <w:pPr>
        <w:pStyle w:val="ListParagraph"/>
        <w:numPr>
          <w:ilvl w:val="0"/>
          <w:numId w:val="2"/>
        </w:numPr>
        <w:spacing w:after="120" w:line="290"/>
      </w:pPr>
      <w:r>
        <w:rPr>
          <w:rFonts w:ascii="Calibri" w:cs="Calibri" w:eastAsia="Calibri" w:hAnsi="Calibri"/>
          <w:color w:val="1E2A38"/>
          <w:sz w:val="22"/>
          <w:szCs w:val="22"/>
        </w:rPr>
        <w:t xml:space="preserve">None persisted — the tenant's host is the record. It may keep a short-lived correlation/dedupe store.</w:t>
      </w:r>
    </w:p>
    <w:p>
      <w:pPr>
        <w:pStyle w:val="Heading1"/>
        <w:spacing w:after="200" w:before="340"/>
      </w:pPr>
      <w:r>
        <w:rPr>
          <w:rFonts w:ascii="Calibri" w:cs="Calibri" w:eastAsia="Calibri" w:hAnsi="Calibri"/>
          <w:b/>
          <w:bCs/>
          <w:color w:val="0B1F3A"/>
          <w:sz w:val="30"/>
          <w:szCs w:val="30"/>
        </w:rPr>
        <w:t xml:space="preserve">7. Interfaces</w:t>
      </w:r>
    </w:p>
    <w:p>
      <w:pPr>
        <w:pStyle w:val="Heading2"/>
        <w:spacing w:after="160" w:before="260"/>
      </w:pPr>
      <w:r>
        <w:rPr>
          <w:rFonts w:ascii="Calibri" w:cs="Calibri" w:eastAsia="Calibri" w:hAnsi="Calibri"/>
          <w:b/>
          <w:bCs/>
          <w:color w:val="0A7E79"/>
          <w:sz w:val="25"/>
          <w:szCs w:val="25"/>
        </w:rPr>
        <w:t xml:space="preserve">7.1 APIs / methods exposed</w:t>
      </w:r>
    </w:p>
    <w:p>
      <w:pPr>
        <w:pStyle w:val="ListParagraph"/>
        <w:numPr>
          <w:ilvl w:val="0"/>
          <w:numId w:val="2"/>
        </w:numPr>
        <w:spacing w:after="120" w:line="290"/>
      </w:pPr>
      <w:r>
        <w:rPr>
          <w:rFonts w:ascii="Calibri" w:cs="Calibri" w:eastAsia="Calibri" w:hAnsi="Calibri"/>
          <w:color w:val="1E2A38"/>
          <w:sz w:val="22"/>
          <w:szCs w:val="22"/>
        </w:rPr>
        <w:t xml:space="preserve">CoreBankingPort: getAccount, submitPosting, getBalance, healthCheck.</w:t>
      </w:r>
    </w:p>
    <w:p>
      <w:pPr>
        <w:pStyle w:val="Heading2"/>
        <w:spacing w:after="160" w:before="260"/>
      </w:pPr>
      <w:r>
        <w:rPr>
          <w:rFonts w:ascii="Calibri" w:cs="Calibri" w:eastAsia="Calibri" w:hAnsi="Calibri"/>
          <w:b/>
          <w:bCs/>
          <w:color w:val="0A7E79"/>
          <w:sz w:val="25"/>
          <w:szCs w:val="25"/>
        </w:rPr>
        <w:t xml:space="preserve">7.2 Events published / consumed</w:t>
      </w:r>
    </w:p>
    <w:p>
      <w:pPr>
        <w:pStyle w:val="ListParagraph"/>
        <w:numPr>
          <w:ilvl w:val="0"/>
          <w:numId w:val="2"/>
        </w:numPr>
        <w:spacing w:after="120" w:line="290"/>
      </w:pPr>
      <w:r>
        <w:rPr>
          <w:rFonts w:ascii="Calibri" w:cs="Calibri" w:eastAsia="Calibri" w:hAnsi="Calibri"/>
          <w:color w:val="1E2A38"/>
          <w:sz w:val="22"/>
          <w:szCs w:val="22"/>
        </w:rPr>
        <w:t xml:space="preserve">Publishes/consumes: none directly (synchronous port + host callbacks normalized).</w:t>
      </w:r>
    </w:p>
    <w:p>
      <w:pPr>
        <w:pStyle w:val="Heading1"/>
        <w:spacing w:after="200" w:before="340"/>
      </w:pPr>
      <w:r>
        <w:rPr>
          <w:rFonts w:ascii="Calibri" w:cs="Calibri" w:eastAsia="Calibri" w:hAnsi="Calibri"/>
          <w:b/>
          <w:bCs/>
          <w:color w:val="0B1F3A"/>
          <w:sz w:val="30"/>
          <w:szCs w:val="30"/>
        </w:rPr>
        <w:t xml:space="preserve">8. Dependencies</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500"/>
        <w:gridCol w:w="3550"/>
        <w:gridCol w:w="3300"/>
      </w:tblGrid>
      <w:tr>
        <w:trPr>
          <w:tblHeader/>
        </w:trPr>
        <w:tc>
          <w:tcPr>
            <w:tcW w:type="dxa" w:w="25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Depends on</w:t>
            </w:r>
          </w:p>
        </w:tc>
        <w:tc>
          <w:tcPr>
            <w:tcW w:type="dxa" w:w="3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For what</w:t>
            </w:r>
          </w:p>
        </w:tc>
        <w:tc>
          <w:tcPr>
            <w:tcW w:type="dxa" w:w="33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Failure behaviour if unavailable</w:t>
            </w:r>
          </w:p>
        </w:tc>
      </w:tr>
      <w:tr>
        <w:tc>
          <w:tcPr>
            <w:tcW w:type="dxa" w:w="25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Tenant core host</w:t>
            </w:r>
          </w:p>
        </w:tc>
        <w:tc>
          <w:tcPr>
            <w:tcW w:type="dxa" w:w="3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Accounts, postings, balances</w:t>
            </w:r>
          </w:p>
        </w:tc>
        <w:tc>
          <w:tcPr>
            <w:tcW w:type="dxa" w:w="3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Honest integration error; circuit-broken</w:t>
            </w:r>
          </w:p>
        </w:tc>
      </w:tr>
      <w:tr>
        <w:tc>
          <w:tcPr>
            <w:tcW w:type="dxa" w:w="25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SPI registry</w:t>
            </w:r>
          </w:p>
        </w:tc>
        <w:tc>
          <w:tcPr>
            <w:tcW w:type="dxa" w:w="3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Per-host binding</w:t>
            </w:r>
          </w:p>
        </w:tc>
        <w:tc>
          <w:tcPr>
            <w:tcW w:type="dxa" w:w="3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Bind the correct host per tenant</w:t>
            </w:r>
          </w:p>
        </w:tc>
      </w:tr>
    </w:tbl>
    <w:p>
      <w:pPr>
        <w:pStyle w:val="Heading1"/>
        <w:spacing w:after="200" w:before="340"/>
      </w:pPr>
      <w:r>
        <w:rPr>
          <w:rFonts w:ascii="Calibri" w:cs="Calibri" w:eastAsia="Calibri" w:hAnsi="Calibri"/>
          <w:b/>
          <w:bCs/>
          <w:color w:val="0B1F3A"/>
          <w:sz w:val="30"/>
          <w:szCs w:val="30"/>
        </w:rPr>
        <w:t xml:space="preserve">9. Key Risks &amp; Controls</w:t>
      </w:r>
    </w:p>
    <w:p>
      <w:pPr>
        <w:pStyle w:val="ListParagraph"/>
        <w:numPr>
          <w:ilvl w:val="0"/>
          <w:numId w:val="2"/>
        </w:numPr>
        <w:spacing w:after="120" w:line="290"/>
      </w:pPr>
      <w:r>
        <w:rPr>
          <w:rFonts w:ascii="Calibri" w:cs="Calibri" w:eastAsia="Calibri" w:hAnsi="Calibri"/>
          <w:color w:val="1E2A38"/>
          <w:sz w:val="22"/>
          <w:szCs w:val="22"/>
        </w:rPr>
        <w:t xml:space="preserve">Double-posting to the host — controlled by host-reference idempotency.</w:t>
      </w:r>
    </w:p>
    <w:p>
      <w:pPr>
        <w:pStyle w:val="ListParagraph"/>
        <w:numPr>
          <w:ilvl w:val="0"/>
          <w:numId w:val="2"/>
        </w:numPr>
        <w:spacing w:after="120" w:line="290"/>
      </w:pPr>
      <w:r>
        <w:rPr>
          <w:rFonts w:ascii="Calibri" w:cs="Calibri" w:eastAsia="Calibri" w:hAnsi="Calibri"/>
          <w:color w:val="1E2A38"/>
          <w:sz w:val="22"/>
          <w:szCs w:val="22"/>
        </w:rPr>
        <w:t xml:space="preserve">Masking host failures — controlled by honest error mapping.</w:t>
      </w:r>
    </w:p>
    <w:p>
      <w:pPr>
        <w:pStyle w:val="ListParagraph"/>
        <w:numPr>
          <w:ilvl w:val="0"/>
          <w:numId w:val="2"/>
        </w:numPr>
        <w:spacing w:after="120" w:line="290"/>
      </w:pPr>
      <w:r>
        <w:rPr>
          <w:rFonts w:ascii="Calibri" w:cs="Calibri" w:eastAsia="Calibri" w:hAnsi="Calibri"/>
          <w:color w:val="1E2A38"/>
          <w:sz w:val="22"/>
          <w:szCs w:val="22"/>
        </w:rPr>
        <w:t xml:space="preserve">Becoming a shadow ledger — avoided by scope: it maps, it does not book.</w:t>
      </w:r>
    </w:p>
    <w:tbl>
      <w:tblPr>
        <w:tblW w:type="dxa" w:w="9350"/>
        <w:tblBorders>
          <w:top w:val="single" w:color="B9770E" w:sz="6"/>
          <w:left w:val="single" w:color="B9770E" w:sz="18"/>
          <w:bottom w:val="single" w:color="B9770E" w:sz="6"/>
          <w:right w:val="single" w:color="B9770E" w:sz="6"/>
          <w:insideH w:val="single" w:color="B9770E" w:sz="6"/>
          <w:insideV w:val="single" w:color="B9770E" w:sz="6"/>
        </w:tblBorders>
      </w:tblPr>
      <w:tblGrid>
        <w:gridCol w:w="9350"/>
      </w:tblGrid>
      <w:tr>
        <w:tc>
          <w:tcPr>
            <w:tcW w:type="dxa" w:w="9350"/>
            <w:shd w:fill="FDEBD0" w:val="clear"/>
            <w:tcMar>
              <w:top w:type="dxa" w:w="130"/>
              <w:left w:type="dxa" w:w="170"/>
              <w:bottom w:type="dxa" w:w="130"/>
              <w:right w:type="dxa" w:w="170"/>
            </w:tcMar>
          </w:tcPr>
          <w:p>
            <w:pPr>
              <w:spacing w:after="0" w:line="290"/>
            </w:pPr>
            <w:r>
              <w:rPr>
                <w:rFonts w:ascii="Calibri" w:cs="Calibri" w:eastAsia="Calibri" w:hAnsi="Calibri"/>
                <w:b/>
                <w:bCs/>
                <w:color w:val="B9770E"/>
                <w:sz w:val="21"/>
                <w:szCs w:val="21"/>
              </w:rPr>
              <w:t xml:space="preserve">Deploy only when needed.  </w:t>
            </w:r>
            <w:r>
              <w:rPr>
                <w:rFonts w:ascii="Calibri" w:cs="Calibri" w:eastAsia="Calibri" w:hAnsi="Calibri"/>
                <w:color w:val="1E2A38"/>
                <w:sz w:val="21"/>
                <w:szCs w:val="21"/>
              </w:rPr>
              <w:t xml:space="preserve">Most launch tenants use the platform's own Ledger; this adapter is built when a tenant that keeps its core is onboarded.</w:t>
            </w:r>
          </w:p>
        </w:tc>
      </w:tr>
    </w:tbl>
    <w:sectPr>
      <w:headerReference w:type="default" r:id="rId7"/>
      <w:footerReference w:type="default" r:id="rId8"/>
      <w:pgSz w:w="12240" w:h="15840" w:orient="portrait"/>
      <w:pgMar w:top="1200" w:right="144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Calibri" w:cs="Calibri" w:eastAsia="Calibri" w:hAnsi="Calibri"/>
        <w:color w:val="5B6B7A"/>
        <w:sz w:val="17"/>
        <w:szCs w:val="17"/>
      </w:rPr>
      <w:t xml:space="preserve">Confidential — Internal Use   ·   Page </w:t>
    </w:r>
    <w:r>
      <w:rPr>
        <w:rFonts w:ascii="Calibri" w:cs="Calibri" w:eastAsia="Calibri" w:hAnsi="Calibri"/>
        <w:color w:val="5B6B7A"/>
        <w:sz w:val="17"/>
        <w:szCs w:val="17"/>
      </w:rPr>
      <w:fldChar w:fldCharType="begin"/>
      <w:instrText xml:space="preserve">PAGE</w:instrText>
      <w:fldChar w:fldCharType="separate"/>
      <w:fldChar w:fldCharType="end"/>
    </w:r>
    <w:r>
      <w:rPr>
        <w:rFonts w:ascii="Calibri" w:cs="Calibri" w:eastAsia="Calibri" w:hAnsi="Calibri"/>
        <w:color w:val="5B6B7A"/>
        <w:sz w:val="17"/>
        <w:szCs w:val="17"/>
      </w:rPr>
      <w:t xml:space="preserve"> of </w:t>
    </w:r>
    <w:r>
      <w:rPr>
        <w:rFonts w:ascii="Calibri" w:cs="Calibri" w:eastAsia="Calibri" w:hAnsi="Calibri"/>
        <w:color w:val="5B6B7A"/>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right"/>
    </w:pPr>
    <w:r>
      <w:rPr>
        <w:rFonts w:ascii="Calibri" w:cs="Calibri" w:eastAsia="Calibri" w:hAnsi="Calibri"/>
        <w:color w:val="0A7E79"/>
        <w:sz w:val="17"/>
        <w:szCs w:val="17"/>
      </w:rPr>
      <w:t xml:space="preserve">Adapter 18 — Core Banking Host Adapter · Feature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460" w:hanging="23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E2A38"/>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2026-07-22T22:15:35.559Z</dcterms:created>
  <dcterms:modified xsi:type="dcterms:W3CDTF">2026-07-22T22:15:35.575Z</dcterms:modified>
</cp:coreProperties>
</file>

<file path=docProps/custom.xml><?xml version="1.0" encoding="utf-8"?>
<Properties xmlns="http://schemas.openxmlformats.org/officeDocument/2006/custom-properties" xmlns:vt="http://schemas.openxmlformats.org/officeDocument/2006/docPropsVTypes"/>
</file>