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before="700"/>
      </w:pPr>
      <w:r>
        <w:rPr>
          <w:rFonts w:ascii="Calibri" w:cs="Calibri" w:eastAsia="Calibri" w:hAnsi="Calibri"/>
          <w:b/>
          <w:bCs/>
          <w:color w:val="0A7E79"/>
          <w:sz w:val="21"/>
          <w:szCs w:val="21"/>
        </w:rPr>
        <w:t xml:space="preserve">FEATURE SPECIFICATION · ADAPTER · Adapter 19</w:t>
      </w:r>
    </w:p>
    <w:p>
      <w:pPr>
        <w:spacing w:after="200"/>
      </w:pPr>
      <w:r>
        <w:rPr>
          <w:rFonts w:ascii="Calibri" w:cs="Calibri" w:eastAsia="Calibri" w:hAnsi="Calibri"/>
          <w:b/>
          <w:bCs/>
          <w:color w:val="0B1F3A"/>
          <w:sz w:val="52"/>
          <w:szCs w:val="52"/>
        </w:rPr>
        <w:t xml:space="preserve">Payout Rail Connectivity Adapter — Feature Specification</w:t>
      </w:r>
    </w:p>
    <w:p>
      <w:pPr>
        <w:spacing w:after="200"/>
      </w:pPr>
      <w:r>
        <w:rPr>
          <w:rFonts w:ascii="Calibri" w:cs="Calibri" w:eastAsia="Calibri" w:hAnsi="Calibri"/>
          <w:b/>
          <w:bCs/>
          <w:color w:val="0A7E79"/>
          <w:sz w:val="27"/>
          <w:szCs w:val="27"/>
        </w:rPr>
        <w:t xml:space="preserve">Collection &amp; payout across Raast, Aani, sarie/mada and cross-border partners</w:t>
      </w:r>
    </w:p>
    <w:p>
      <w:pPr>
        <w:spacing w:after="420"/>
      </w:pPr>
      <w:r>
        <w:rPr>
          <w:rFonts w:ascii="Calibri" w:cs="Calibri" w:eastAsia="Calibri" w:hAnsi="Calibri"/>
          <w:i/>
          <w:iCs/>
          <w:color w:val="5B6B7A"/>
          <w:sz w:val="22"/>
          <w:szCs w:val="22"/>
        </w:rPr>
        <w:t xml:space="preserve">The money-out (and money-in) boundary for Payments (05) — idempotent, and it never guesses the result of a timeout.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300"/>
        <w:gridCol w:w="7050"/>
      </w:tblGrid>
      <w:tr>
        <w:trPr>
          <w:tblHeader/>
        </w:trPr>
        <w:tc>
          <w:tcPr>
            <w:tcW w:type="dxa" w:w="23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Field</w:t>
            </w:r>
          </w:p>
        </w:tc>
        <w:tc>
          <w:tcPr>
            <w:tcW w:type="dxa" w:w="70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Details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Component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Payout Rail Connectivity Adapter (Adapter 19)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Type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Shared adapter (SPI)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Runtime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TypeScript — NestJS injectable providers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Owning squad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Platform Adapters (shared)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Consumes / depends 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Payment schemes/rails + PSPs; SPI registry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Consumed by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Payments (05), Reconciliation (09), Takaful app (contributions/claims)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Design companion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19_payout_rail_adapter.design.md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Status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Design stage — nothing built yet; features below are the target scope to build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Version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1.0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Date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17 July 2026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Classification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Confidential — Internal Use</w:t>
            </w:r>
          </w:p>
        </w:tc>
      </w:tr>
    </w:tbl>
    <w:p>
      <w:r>
        <w:br w:type="page"/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1. Overview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This adapter connects the platform to payment rails for both collection and payout: Raast (PK), Aani (UAE), sarie/mada (KSA) and cross-border partners for the UAE→PK and KSA→PK corridors. It is the boundary the Payments saga relies on. Its two hard rules: every execution is idempotent, and a timeout is never assumed to be success or failure — it exposes an IN_FLIGHT state and a status-inquiry.</w:t>
      </w:r>
    </w:p>
    <w:tbl>
      <w:tblPr>
        <w:tblW w:type="dxa" w:w="9350"/>
        <w:tblBorders>
          <w:top w:val="single" w:color="0A7E79" w:sz="6"/>
          <w:left w:val="single" w:color="0A7E79" w:sz="18"/>
          <w:bottom w:val="single" w:color="0A7E79" w:sz="6"/>
          <w:right w:val="single" w:color="0A7E79" w:sz="6"/>
          <w:insideH w:val="single" w:color="0A7E79" w:sz="6"/>
          <w:insideV w:val="single" w:color="0A7E79" w:sz="6"/>
        </w:tblBorders>
      </w:tblPr>
      <w:tblGrid>
        <w:gridCol w:w="9350"/>
      </w:tblGrid>
      <w:tr>
        <w:tc>
          <w:tcPr>
            <w:tcW w:type="dxa" w:w="9350"/>
            <w:shd w:fill="EAF2F8" w:val="clear"/>
            <w:tcMar>
              <w:top w:type="dxa" w:w="130"/>
              <w:left w:type="dxa" w:w="170"/>
              <w:bottom w:type="dxa" w:w="130"/>
              <w:right w:type="dxa" w:w="170"/>
            </w:tcMar>
          </w:tcPr>
          <w:p>
            <w:pPr>
              <w:spacing w:after="0" w:line="290"/>
            </w:pPr>
            <w:r>
              <w:rPr>
                <w:rFonts w:ascii="Calibri" w:cs="Calibri" w:eastAsia="Calibri" w:hAnsi="Calibri"/>
                <w:b/>
                <w:bCs/>
                <w:color w:val="0A7E79"/>
                <w:sz w:val="21"/>
                <w:szCs w:val="21"/>
              </w:rPr>
              <w:t xml:space="preserve">Single responsibility.  </w:t>
            </w:r>
            <w:r>
              <w:rPr>
                <w:rFonts w:ascii="Calibri" w:cs="Calibri" w:eastAsia="Calibri" w:hAnsi="Calibri"/>
                <w:color w:val="1E2A38"/>
                <w:sz w:val="21"/>
                <w:szCs w:val="21"/>
              </w:rPr>
              <w:t xml:space="preserve">It executes on rails and reports status honestly. It owns no transfer state (Payments, 05 does) and makes no money decisions — it moves money on a scheme and tells the truth about what happened.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2. Scope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2.1 In scope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Payout execution via the bound rail.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Collection / pull execution where the rail supports it (contributions).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Payment status inquiry (resolving IN_FLIGHT).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Statement retrieval for reconciliation.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Multiple rail bindings per corridor via the SPI registry.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2.2 Explicitly out of scope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The transfer saga and compensation (Payments, 05).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Reconciliation matching (Reconciliation, 09).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Pricing/limits (Pricing 10 / Control Plane 12).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3. Feature Catalogue (MoSCoW)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Features grouped by capability area. Priority uses MoSCoW: Must = required for the Pakistan pilot; Should = needed for a complete first release; Could = valuable later; Won't = explicitly deferred (recorded so it is a decision, not an omission).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3.1 Execution</w:t>
      </w:r>
    </w:p>
    <w:tbl>
      <w:tblPr>
        <w:tblW w:type="dxa" w:w="9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650"/>
        <w:gridCol w:w="2600"/>
        <w:gridCol w:w="4550"/>
        <w:gridCol w:w="1200"/>
      </w:tblGrid>
      <w:tr>
        <w:trPr>
          <w:tblHeader/>
        </w:trPr>
        <w:tc>
          <w:tcPr>
            <w:tcW w:type="dxa" w:w="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12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EX1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Payout execution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Execute a payout on the bound rail; return accepted/in-flight/rejected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EX2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Idempotent execution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Dedupe on end-to-end id; a retry never double-pays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EX3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Collection / pull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Pull funds where the rail supports it (recurring contributions)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Should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EX4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Status inquiry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Resolve an IN_FLIGHT payment's final state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EX5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Rail health check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Expose rail availability + cutoff state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Should</w:t>
            </w:r>
          </w:p>
        </w:tc>
      </w:tr>
    </w:tbl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3.2 Bindings &amp; statements</w:t>
      </w:r>
    </w:p>
    <w:tbl>
      <w:tblPr>
        <w:tblW w:type="dxa" w:w="9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650"/>
        <w:gridCol w:w="2600"/>
        <w:gridCol w:w="4550"/>
        <w:gridCol w:w="1200"/>
      </w:tblGrid>
      <w:tr>
        <w:trPr>
          <w:tblHeader/>
        </w:trPr>
        <w:tc>
          <w:tcPr>
            <w:tcW w:type="dxa" w:w="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12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BS1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Raast binding (PK)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Domestic instant payout/collection (alias/IBAN)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BS2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Aani binding (AE)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UAE instant payments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BS3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sarie / mada binding (SA)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KSA payments, in-Kingdom path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BS4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Cross-border partner bindings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UAE→PK, KSA→PK corridors via partner(s)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BS5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Statement retrieval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Fetch settlement statements for reconciliation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BS6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ISO 20022 message support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pain/pacs/camt where the scheme requires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Should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4. Functional Requirements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Execution is idempotent by end-to-end id; the same instruction never pays twice.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A timeout or ambiguous response returns IN_FLIGHT — never a guessed success/failure; the inquiry resolves it.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Rejections are returned with a mapped, actionable reason so Payments can compensate.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KSA (sarie/mada) execution is pinned to the in-Kingdom path.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Every rail binding conforms to the identical port shape (parity fixtures); every call carries tenant_id + app_id.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5. Non-Functional Requirements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600"/>
        <w:gridCol w:w="6750"/>
      </w:tblGrid>
      <w:tr>
        <w:trPr>
          <w:tblHeader/>
        </w:trPr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Attribute</w:t>
            </w:r>
          </w:p>
        </w:tc>
        <w:tc>
          <w:tcPr>
            <w:tcW w:type="dxa" w:w="67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Target / requirement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Idempotency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100% — no double-pay under retry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Timeout semantics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Never assume; IN_FLIGHT + inquiry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Residency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sa rail calls stay in-Kingdom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Contract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Pact provider to Payments (05) &amp; Reconciliation (09)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Resilience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Circuit breaker + inquiry-based recovery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Isolation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tenant/app-scoped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6. Data Owned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This adapter is not the transfer record owner. Operationally it manages: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None as system of record — Payments (05) owns transfers. It keeps an execution/dedupe + inquiry correlation store.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7. Interfaces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7.1 APIs / methods exposed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PayoutRailPort: executePayout, executeCollection, inquireStatus, fetchStatement, healthCheck.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7.2 Events published / consumed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Publishes/consumes: none directly (synchronous port + scheme callbacks normalized; statements feed 09).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8. Dependencies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500"/>
        <w:gridCol w:w="3550"/>
        <w:gridCol w:w="3300"/>
      </w:tblGrid>
      <w:tr>
        <w:trPr>
          <w:tblHeader/>
        </w:trPr>
        <w:tc>
          <w:tcPr>
            <w:tcW w:type="dxa" w:w="25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Depends on</w:t>
            </w:r>
          </w:p>
        </w:tc>
        <w:tc>
          <w:tcPr>
            <w:tcW w:type="dxa" w:w="3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For what</w:t>
            </w:r>
          </w:p>
        </w:tc>
        <w:tc>
          <w:tcPr>
            <w:tcW w:type="dxa" w:w="33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Failure behaviour if unavailable</w:t>
            </w:r>
          </w:p>
        </w:tc>
      </w:tr>
      <w:tr>
        <w:tc>
          <w:tcPr>
            <w:tcW w:type="dxa" w:w="25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Payment schemes / PSPs</w:t>
            </w:r>
          </w:p>
        </w:tc>
        <w:tc>
          <w:tcPr>
            <w:tcW w:type="dxa" w:w="3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Execute + settle</w:t>
            </w:r>
          </w:p>
        </w:tc>
        <w:tc>
          <w:tcPr>
            <w:tcW w:type="dxa" w:w="3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IN_FLIGHT + inquiry; mapped rejects</w:t>
            </w:r>
          </w:p>
        </w:tc>
      </w:tr>
      <w:tr>
        <w:tc>
          <w:tcPr>
            <w:tcW w:type="dxa" w:w="25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SPI registry</w:t>
            </w:r>
          </w:p>
        </w:tc>
        <w:tc>
          <w:tcPr>
            <w:tcW w:type="dxa" w:w="3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Per-corridor rail binding</w:t>
            </w:r>
          </w:p>
        </w:tc>
        <w:tc>
          <w:tcPr>
            <w:tcW w:type="dxa" w:w="3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Bind the correct rail per corridor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9. Key Risks &amp; Controls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Double-pay — controlled by end-to-end idempotency.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Guessing a timeout outcome — controlled by IN_FLIGHT + status inquiry.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Residency breach on KSA rails — controlled by in-Kingdom path pinning.</w:t>
      </w:r>
    </w:p>
    <w:tbl>
      <w:tblPr>
        <w:tblW w:type="dxa" w:w="9350"/>
        <w:tblBorders>
          <w:top w:val="single" w:color="B9770E" w:sz="6"/>
          <w:left w:val="single" w:color="B9770E" w:sz="18"/>
          <w:bottom w:val="single" w:color="B9770E" w:sz="6"/>
          <w:right w:val="single" w:color="B9770E" w:sz="6"/>
          <w:insideH w:val="single" w:color="B9770E" w:sz="6"/>
          <w:insideV w:val="single" w:color="B9770E" w:sz="6"/>
        </w:tblBorders>
      </w:tblPr>
      <w:tblGrid>
        <w:gridCol w:w="9350"/>
      </w:tblGrid>
      <w:tr>
        <w:tc>
          <w:tcPr>
            <w:tcW w:type="dxa" w:w="9350"/>
            <w:shd w:fill="FDEBD0" w:val="clear"/>
            <w:tcMar>
              <w:top w:type="dxa" w:w="130"/>
              <w:left w:type="dxa" w:w="170"/>
              <w:bottom w:type="dxa" w:w="130"/>
              <w:right w:type="dxa" w:w="170"/>
            </w:tcMar>
          </w:tcPr>
          <w:p>
            <w:pPr>
              <w:spacing w:after="0" w:line="290"/>
            </w:pPr>
            <w:r>
              <w:rPr>
                <w:rFonts w:ascii="Calibri" w:cs="Calibri" w:eastAsia="Calibri" w:hAnsi="Calibri"/>
                <w:b/>
                <w:bCs/>
                <w:color w:val="B9770E"/>
                <w:sz w:val="21"/>
                <w:szCs w:val="21"/>
              </w:rPr>
              <w:t xml:space="preserve">Two hard rules.  </w:t>
            </w:r>
            <w:r>
              <w:rPr>
                <w:rFonts w:ascii="Calibri" w:cs="Calibri" w:eastAsia="Calibri" w:hAnsi="Calibri"/>
                <w:color w:val="1E2A38"/>
                <w:sz w:val="21"/>
                <w:szCs w:val="21"/>
              </w:rPr>
              <w:t xml:space="preserve">Idempotent execution and never-guess-on-timeout are the difference between a trustworthy remittance rail and lost money. Fault-injection on both is a release gate.</w:t>
            </w:r>
          </w:p>
        </w:tc>
      </w:tr>
    </w:tbl>
    <w:sectPr>
      <w:headerReference w:type="default" r:id="rId7"/>
      <w:footerReference w:type="default" r:id="rId8"/>
      <w:pgSz w:w="12240" w:h="15840" w:orient="portrait"/>
      <w:pgMar w:top="1200" w:right="1440" w:bottom="120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/>
      <w:jc w:val="center"/>
    </w:pPr>
    <w:r>
      <w:rPr>
        <w:rFonts w:ascii="Calibri" w:cs="Calibri" w:eastAsia="Calibri" w:hAnsi="Calibri"/>
        <w:color w:val="5B6B7A"/>
        <w:sz w:val="17"/>
        <w:szCs w:val="17"/>
      </w:rPr>
      <w:t xml:space="preserve">Confidential — Internal Use   ·   Page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B6B7A"/>
        <w:sz w:val="17"/>
        <w:szCs w:val="17"/>
      </w:rPr>
      <w:t xml:space="preserve"> of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/>
      <w:jc w:val="right"/>
    </w:pPr>
    <w:r>
      <w:rPr>
        <w:rFonts w:ascii="Calibri" w:cs="Calibri" w:eastAsia="Calibri" w:hAnsi="Calibri"/>
        <w:color w:val="0A7E79"/>
        <w:sz w:val="17"/>
        <w:szCs w:val="17"/>
      </w:rPr>
      <w:t xml:space="preserve">Adapter 19 — Payout Rail Connectivity Adapter · Feature Specification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start"/>
      <w:pPr>
        <w:ind w:left="460" w:hanging="23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E2A38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2026-07-22T22:15:35.758Z</dcterms:created>
  <dcterms:modified xsi:type="dcterms:W3CDTF">2026-07-22T22:15:35.758Z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