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700"/>
      </w:pPr>
      <w:r>
        <w:rPr>
          <w:rFonts w:ascii="Calibri" w:cs="Calibri" w:eastAsia="Calibri" w:hAnsi="Calibri"/>
          <w:b/>
          <w:bCs/>
          <w:color w:val="0A7E79"/>
          <w:sz w:val="21"/>
          <w:szCs w:val="21"/>
        </w:rPr>
        <w:t xml:space="preserve">FEATURE SPECIFICATION · ADAPTER · Adapter 20</w:t>
      </w:r>
    </w:p>
    <w:p>
      <w:pPr>
        <w:spacing w:after="200"/>
      </w:pPr>
      <w:r>
        <w:rPr>
          <w:rFonts w:ascii="Calibri" w:cs="Calibri" w:eastAsia="Calibri" w:hAnsi="Calibri"/>
          <w:b/>
          <w:bCs/>
          <w:color w:val="0B1F3A"/>
          <w:sz w:val="52"/>
          <w:szCs w:val="52"/>
        </w:rPr>
        <w:t xml:space="preserve">Card Processor Adapter — Feature Specification</w:t>
      </w:r>
    </w:p>
    <w:p>
      <w:pPr>
        <w:spacing w:after="200"/>
      </w:pPr>
      <w:r>
        <w:rPr>
          <w:rFonts w:ascii="Calibri" w:cs="Calibri" w:eastAsia="Calibri" w:hAnsi="Calibri"/>
          <w:b/>
          <w:bCs/>
          <w:color w:val="0A7E79"/>
          <w:sz w:val="27"/>
          <w:szCs w:val="27"/>
        </w:rPr>
        <w:t xml:space="preserve">Issuer-processor integration for issuance, authorization forwarding and clearing</w:t>
      </w:r>
    </w:p>
    <w:p>
      <w:pPr>
        <w:spacing w:after="420"/>
      </w:pPr>
      <w:r>
        <w:rPr>
          <w:rFonts w:ascii="Calibri" w:cs="Calibri" w:eastAsia="Calibri" w:hAnsi="Calibri"/>
          <w:i/>
          <w:iCs/>
          <w:color w:val="5B6B7A"/>
          <w:sz w:val="22"/>
          <w:szCs w:val="22"/>
        </w:rPr>
        <w:t xml:space="preserve">Keeps PANs at the processor and forwards authorization fast — the plumbing behind the optional Cards service (07).</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300"/>
        <w:gridCol w:w="7050"/>
      </w:tblGrid>
      <w:tr>
        <w:trPr>
          <w:tblHeader/>
        </w:trPr>
        <w:tc>
          <w:tcPr>
            <w:tcW w:type="dxa" w:w="23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Field</w:t>
            </w:r>
          </w:p>
        </w:tc>
        <w:tc>
          <w:tcPr>
            <w:tcW w:type="dxa" w:w="70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Details</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Component</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Card Processor Adapter (Adapter 20)</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Type</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Shared adapter (SPI)</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Runtime</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TypeScript — NestJS injectable providers</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Owning squad</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Platform Adapters (shared)</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Consumes / depends 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Issuer-processors (e.g. regional BaaS/processor); SPI registry</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Consumed by</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Card Issuing service (07)</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Design companion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20_card_processor_adapter.design.md</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Status</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Design stage — nothing built yet; features below are the target scope to build</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Version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1.0</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Date</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17 July 2026</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Classification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Confidential — Internal Use</w:t>
            </w:r>
          </w:p>
        </w:tc>
      </w:tr>
    </w:tbl>
    <w:p>
      <w:r>
        <w:br w:type="page"/>
      </w:r>
    </w:p>
    <w:p>
      <w:pPr>
        <w:pStyle w:val="Heading1"/>
        <w:spacing w:after="200" w:before="340"/>
      </w:pPr>
      <w:r>
        <w:rPr>
          <w:rFonts w:ascii="Calibri" w:cs="Calibri" w:eastAsia="Calibri" w:hAnsi="Calibri"/>
          <w:b/>
          <w:bCs/>
          <w:color w:val="0B1F3A"/>
          <w:sz w:val="30"/>
          <w:szCs w:val="30"/>
        </w:rPr>
        <w:t xml:space="preserve">1. Overview</w:t>
      </w:r>
    </w:p>
    <w:p>
      <w:pPr>
        <w:spacing w:after="160" w:line="300"/>
      </w:pPr>
      <w:r>
        <w:rPr>
          <w:rFonts w:ascii="Calibri" w:cs="Calibri" w:eastAsia="Calibri" w:hAnsi="Calibri"/>
          <w:color w:val="1E2A38"/>
          <w:sz w:val="22"/>
          <w:szCs w:val="22"/>
        </w:rPr>
        <w:t xml:space="preserve">This adapter integrates the issuer-processor that actually creates cards, tokenises PANs, forwards authorization requests, and delivers clearing files. It keeps card-number data at the processor (PCI scope stays there) and normalises the processor's authorization and clearing model into the platform's. It is deployed only when the optional Cards capability is enabled.</w:t>
      </w:r>
    </w:p>
    <w:tbl>
      <w:tblPr>
        <w:tblW w:type="dxa" w:w="9350"/>
        <w:tblBorders>
          <w:top w:val="single" w:color="0A7E79" w:sz="6"/>
          <w:left w:val="single" w:color="0A7E79" w:sz="18"/>
          <w:bottom w:val="single" w:color="0A7E79" w:sz="6"/>
          <w:right w:val="single" w:color="0A7E79" w:sz="6"/>
          <w:insideH w:val="single" w:color="0A7E79" w:sz="6"/>
          <w:insideV w:val="single" w:color="0A7E79" w:sz="6"/>
        </w:tblBorders>
      </w:tblPr>
      <w:tblGrid>
        <w:gridCol w:w="9350"/>
      </w:tblGrid>
      <w:tr>
        <w:tc>
          <w:tcPr>
            <w:tcW w:type="dxa" w:w="9350"/>
            <w:shd w:fill="EAF2F8" w:val="clear"/>
            <w:tcMar>
              <w:top w:type="dxa" w:w="130"/>
              <w:left w:type="dxa" w:w="170"/>
              <w:bottom w:type="dxa" w:w="130"/>
              <w:right w:type="dxa" w:w="170"/>
            </w:tcMar>
          </w:tcPr>
          <w:p>
            <w:pPr>
              <w:spacing w:after="0" w:line="290"/>
            </w:pPr>
            <w:r>
              <w:rPr>
                <w:rFonts w:ascii="Calibri" w:cs="Calibri" w:eastAsia="Calibri" w:hAnsi="Calibri"/>
                <w:b/>
                <w:bCs/>
                <w:color w:val="0A7E79"/>
                <w:sz w:val="21"/>
                <w:szCs w:val="21"/>
              </w:rPr>
              <w:t xml:space="preserve">Single responsibility.  </w:t>
            </w:r>
            <w:r>
              <w:rPr>
                <w:rFonts w:ascii="Calibri" w:cs="Calibri" w:eastAsia="Calibri" w:hAnsi="Calibri"/>
                <w:color w:val="1E2A38"/>
                <w:sz w:val="21"/>
                <w:szCs w:val="21"/>
              </w:rPr>
              <w:t xml:space="preserve">It is the anti-corruption layer to the card processor: normalise issuance/auth/clearing, keep PANs out of the platform, and forward authorization within the scheme window. It makes no authorization decision itself (Cards, 07 does).</w:t>
            </w:r>
          </w:p>
        </w:tc>
      </w:tr>
    </w:tbl>
    <w:p>
      <w:pPr>
        <w:pStyle w:val="Heading1"/>
        <w:spacing w:after="200" w:before="340"/>
      </w:pPr>
      <w:r>
        <w:rPr>
          <w:rFonts w:ascii="Calibri" w:cs="Calibri" w:eastAsia="Calibri" w:hAnsi="Calibri"/>
          <w:b/>
          <w:bCs/>
          <w:color w:val="0B1F3A"/>
          <w:sz w:val="30"/>
          <w:szCs w:val="30"/>
        </w:rPr>
        <w:t xml:space="preserve">2. Scope</w:t>
      </w:r>
    </w:p>
    <w:p>
      <w:pPr>
        <w:pStyle w:val="Heading2"/>
        <w:spacing w:after="160" w:before="260"/>
      </w:pPr>
      <w:r>
        <w:rPr>
          <w:rFonts w:ascii="Calibri" w:cs="Calibri" w:eastAsia="Calibri" w:hAnsi="Calibri"/>
          <w:b/>
          <w:bCs/>
          <w:color w:val="0A7E79"/>
          <w:sz w:val="25"/>
          <w:szCs w:val="25"/>
        </w:rPr>
        <w:t xml:space="preserve">2.1 In scope</w:t>
      </w:r>
    </w:p>
    <w:p>
      <w:pPr>
        <w:pStyle w:val="ListParagraph"/>
        <w:numPr>
          <w:ilvl w:val="0"/>
          <w:numId w:val="2"/>
        </w:numPr>
        <w:spacing w:after="120" w:line="290"/>
      </w:pPr>
      <w:r>
        <w:rPr>
          <w:rFonts w:ascii="Calibri" w:cs="Calibri" w:eastAsia="Calibri" w:hAnsi="Calibri"/>
          <w:color w:val="1E2A38"/>
          <w:sz w:val="22"/>
          <w:szCs w:val="22"/>
        </w:rPr>
        <w:t xml:space="preserve">Card issuance (virtual/physical) via the processor.</w:t>
      </w:r>
    </w:p>
    <w:p>
      <w:pPr>
        <w:pStyle w:val="ListParagraph"/>
        <w:numPr>
          <w:ilvl w:val="0"/>
          <w:numId w:val="2"/>
        </w:numPr>
        <w:spacing w:after="120" w:line="290"/>
      </w:pPr>
      <w:r>
        <w:rPr>
          <w:rFonts w:ascii="Calibri" w:cs="Calibri" w:eastAsia="Calibri" w:hAnsi="Calibri"/>
          <w:color w:val="1E2A38"/>
          <w:sz w:val="22"/>
          <w:szCs w:val="22"/>
        </w:rPr>
        <w:t xml:space="preserve">Authorization request forwarding/normalisation on the low-latency path.</w:t>
      </w:r>
    </w:p>
    <w:p>
      <w:pPr>
        <w:pStyle w:val="ListParagraph"/>
        <w:numPr>
          <w:ilvl w:val="0"/>
          <w:numId w:val="2"/>
        </w:numPr>
        <w:spacing w:after="120" w:line="290"/>
      </w:pPr>
      <w:r>
        <w:rPr>
          <w:rFonts w:ascii="Calibri" w:cs="Calibri" w:eastAsia="Calibri" w:hAnsi="Calibri"/>
          <w:color w:val="1E2A38"/>
          <w:sz w:val="22"/>
          <w:szCs w:val="22"/>
        </w:rPr>
        <w:t xml:space="preserve">Clearing-/settlement-file retrieval and normalisation.</w:t>
      </w:r>
    </w:p>
    <w:p>
      <w:pPr>
        <w:pStyle w:val="ListParagraph"/>
        <w:numPr>
          <w:ilvl w:val="0"/>
          <w:numId w:val="2"/>
        </w:numPr>
        <w:spacing w:after="120" w:line="290"/>
      </w:pPr>
      <w:r>
        <w:rPr>
          <w:rFonts w:ascii="Calibri" w:cs="Calibri" w:eastAsia="Calibri" w:hAnsi="Calibri"/>
          <w:color w:val="1E2A38"/>
          <w:sz w:val="22"/>
          <w:szCs w:val="22"/>
        </w:rPr>
        <w:t xml:space="preserve">Tokenised card-reference handling (no PANs).</w:t>
      </w:r>
    </w:p>
    <w:p>
      <w:pPr>
        <w:pStyle w:val="ListParagraph"/>
        <w:numPr>
          <w:ilvl w:val="0"/>
          <w:numId w:val="2"/>
        </w:numPr>
        <w:spacing w:after="120" w:line="290"/>
      </w:pPr>
      <w:r>
        <w:rPr>
          <w:rFonts w:ascii="Calibri" w:cs="Calibri" w:eastAsia="Calibri" w:hAnsi="Calibri"/>
          <w:color w:val="1E2A38"/>
          <w:sz w:val="22"/>
          <w:szCs w:val="22"/>
        </w:rPr>
        <w:t xml:space="preserve">Multiple processor bindings via the SPI registry.</w:t>
      </w:r>
    </w:p>
    <w:p>
      <w:pPr>
        <w:pStyle w:val="Heading2"/>
        <w:spacing w:after="160" w:before="260"/>
      </w:pPr>
      <w:r>
        <w:rPr>
          <w:rFonts w:ascii="Calibri" w:cs="Calibri" w:eastAsia="Calibri" w:hAnsi="Calibri"/>
          <w:b/>
          <w:bCs/>
          <w:color w:val="0A7E79"/>
          <w:sz w:val="25"/>
          <w:szCs w:val="25"/>
        </w:rPr>
        <w:t xml:space="preserve">2.2 Explicitly out of scope</w:t>
      </w:r>
    </w:p>
    <w:p>
      <w:pPr>
        <w:pStyle w:val="ListParagraph"/>
        <w:numPr>
          <w:ilvl w:val="0"/>
          <w:numId w:val="2"/>
        </w:numPr>
        <w:spacing w:after="120" w:line="290"/>
      </w:pPr>
      <w:r>
        <w:rPr>
          <w:rFonts w:ascii="Calibri" w:cs="Calibri" w:eastAsia="Calibri" w:hAnsi="Calibri"/>
          <w:color w:val="1E2A38"/>
          <w:sz w:val="22"/>
          <w:szCs w:val="22"/>
        </w:rPr>
        <w:t xml:space="preserve">The approve/decline decision (Cards, 07).</w:t>
      </w:r>
    </w:p>
    <w:p>
      <w:pPr>
        <w:pStyle w:val="ListParagraph"/>
        <w:numPr>
          <w:ilvl w:val="0"/>
          <w:numId w:val="2"/>
        </w:numPr>
        <w:spacing w:after="120" w:line="290"/>
      </w:pPr>
      <w:r>
        <w:rPr>
          <w:rFonts w:ascii="Calibri" w:cs="Calibri" w:eastAsia="Calibri" w:hAnsi="Calibri"/>
          <w:color w:val="1E2A38"/>
          <w:sz w:val="22"/>
          <w:szCs w:val="22"/>
        </w:rPr>
        <w:t xml:space="preserve">Holding balances (Ledger, 04).</w:t>
      </w:r>
    </w:p>
    <w:p>
      <w:pPr>
        <w:pStyle w:val="ListParagraph"/>
        <w:numPr>
          <w:ilvl w:val="0"/>
          <w:numId w:val="2"/>
        </w:numPr>
        <w:spacing w:after="120" w:line="290"/>
      </w:pPr>
      <w:r>
        <w:rPr>
          <w:rFonts w:ascii="Calibri" w:cs="Calibri" w:eastAsia="Calibri" w:hAnsi="Calibri"/>
          <w:color w:val="1E2A38"/>
          <w:sz w:val="22"/>
          <w:szCs w:val="22"/>
        </w:rPr>
        <w:t xml:space="preserve">Storing PANs (they remain at the processor).</w:t>
      </w:r>
    </w:p>
    <w:p>
      <w:pPr>
        <w:pStyle w:val="Heading1"/>
        <w:spacing w:after="200" w:before="340"/>
      </w:pPr>
      <w:r>
        <w:rPr>
          <w:rFonts w:ascii="Calibri" w:cs="Calibri" w:eastAsia="Calibri" w:hAnsi="Calibri"/>
          <w:b/>
          <w:bCs/>
          <w:color w:val="0B1F3A"/>
          <w:sz w:val="30"/>
          <w:szCs w:val="30"/>
        </w:rPr>
        <w:t xml:space="preserve">3. Feature Catalogue (MoSCoW)</w:t>
      </w:r>
    </w:p>
    <w:p>
      <w:pPr>
        <w:spacing w:after="160" w:line="300"/>
      </w:pPr>
      <w:r>
        <w:rPr>
          <w:rFonts w:ascii="Calibri" w:cs="Calibri" w:eastAsia="Calibri" w:hAnsi="Calibri"/>
          <w:color w:val="1E2A38"/>
          <w:sz w:val="22"/>
          <w:szCs w:val="22"/>
        </w:rPr>
        <w:t xml:space="preserve">Features grouped by capability area. Priority uses MoSCoW: Must = required for the Pakistan pilot; Should = needed for a complete first release; Could = valuable later; Won't = explicitly deferred (recorded so it is a decision, not an omission).</w:t>
      </w:r>
    </w:p>
    <w:p>
      <w:pPr>
        <w:pStyle w:val="Heading2"/>
        <w:spacing w:after="160" w:before="260"/>
      </w:pPr>
      <w:r>
        <w:rPr>
          <w:rFonts w:ascii="Calibri" w:cs="Calibri" w:eastAsia="Calibri" w:hAnsi="Calibri"/>
          <w:b/>
          <w:bCs/>
          <w:color w:val="0A7E79"/>
          <w:sz w:val="25"/>
          <w:szCs w:val="25"/>
        </w:rPr>
        <w:t xml:space="preserve">3.1 Issuance &amp; tokens</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IT1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Virtual card issuance</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Create a virtual card at the processor; return a token ref</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IT2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Physical card issuance</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Order a physical card; track fulfilment</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IT3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Token reference handling</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Handle tokenised refs; never receive/store a PAN</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IT4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Card control sync</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Push freeze/limit/MCC controls to the processor</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bl>
    <w:p>
      <w:pPr>
        <w:pStyle w:val="Heading2"/>
        <w:spacing w:after="160" w:before="260"/>
      </w:pPr>
      <w:r>
        <w:rPr>
          <w:rFonts w:ascii="Calibri" w:cs="Calibri" w:eastAsia="Calibri" w:hAnsi="Calibri"/>
          <w:b/>
          <w:bCs/>
          <w:color w:val="0A7E79"/>
          <w:sz w:val="25"/>
          <w:szCs w:val="25"/>
        </w:rPr>
        <w:t xml:space="preserve">3.2 Authorization &amp; clearing</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AC1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Authorization forwarding</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Normalise the processor's auth request/response fast</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AC2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Idempotent auth handling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Dedupe duplicate auth messages</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AC3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Clearing-file retrieval</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Fetch and normalise clearing/settlement files</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AC4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Processor bindings</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Bind processors per tenant via SPI</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AC5</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Processor health check</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Expose processor availability</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bl>
    <w:p>
      <w:pPr>
        <w:pStyle w:val="Heading1"/>
        <w:spacing w:after="200" w:before="340"/>
      </w:pPr>
      <w:r>
        <w:rPr>
          <w:rFonts w:ascii="Calibri" w:cs="Calibri" w:eastAsia="Calibri" w:hAnsi="Calibri"/>
          <w:b/>
          <w:bCs/>
          <w:color w:val="0B1F3A"/>
          <w:sz w:val="30"/>
          <w:szCs w:val="30"/>
        </w:rPr>
        <w:t xml:space="preserve">4. Functional Requirements</w:t>
      </w:r>
    </w:p>
    <w:p>
      <w:pPr>
        <w:pStyle w:val="ListParagraph"/>
        <w:numPr>
          <w:ilvl w:val="0"/>
          <w:numId w:val="2"/>
        </w:numPr>
        <w:spacing w:after="120" w:line="290"/>
      </w:pPr>
      <w:r>
        <w:rPr>
          <w:rFonts w:ascii="Calibri" w:cs="Calibri" w:eastAsia="Calibri" w:hAnsi="Calibri"/>
          <w:color w:val="1E2A38"/>
          <w:sz w:val="22"/>
          <w:szCs w:val="22"/>
        </w:rPr>
        <w:t xml:space="preserve">No PAN-shaped data is ever received, stored or logged by the adapter; only tokenised references.</w:t>
      </w:r>
    </w:p>
    <w:p>
      <w:pPr>
        <w:pStyle w:val="ListParagraph"/>
        <w:numPr>
          <w:ilvl w:val="0"/>
          <w:numId w:val="2"/>
        </w:numPr>
        <w:spacing w:after="120" w:line="290"/>
      </w:pPr>
      <w:r>
        <w:rPr>
          <w:rFonts w:ascii="Calibri" w:cs="Calibri" w:eastAsia="Calibri" w:hAnsi="Calibri"/>
          <w:color w:val="1E2A38"/>
          <w:sz w:val="22"/>
          <w:szCs w:val="22"/>
        </w:rPr>
        <w:t xml:space="preserve">Authorization forwarding adds minimal latency so Cards can decide within the scheme window.</w:t>
      </w:r>
    </w:p>
    <w:p>
      <w:pPr>
        <w:pStyle w:val="ListParagraph"/>
        <w:numPr>
          <w:ilvl w:val="0"/>
          <w:numId w:val="2"/>
        </w:numPr>
        <w:spacing w:after="120" w:line="290"/>
      </w:pPr>
      <w:r>
        <w:rPr>
          <w:rFonts w:ascii="Calibri" w:cs="Calibri" w:eastAsia="Calibri" w:hAnsi="Calibri"/>
          <w:color w:val="1E2A38"/>
          <w:sz w:val="22"/>
          <w:szCs w:val="22"/>
        </w:rPr>
        <w:t xml:space="preserve">Authorization handling is idempotent across duplicate processor messages.</w:t>
      </w:r>
    </w:p>
    <w:p>
      <w:pPr>
        <w:pStyle w:val="ListParagraph"/>
        <w:numPr>
          <w:ilvl w:val="0"/>
          <w:numId w:val="2"/>
        </w:numPr>
        <w:spacing w:after="120" w:line="290"/>
      </w:pPr>
      <w:r>
        <w:rPr>
          <w:rFonts w:ascii="Calibri" w:cs="Calibri" w:eastAsia="Calibri" w:hAnsi="Calibri"/>
          <w:color w:val="1E2A38"/>
          <w:sz w:val="22"/>
          <w:szCs w:val="22"/>
        </w:rPr>
        <w:t xml:space="preserve">Each processor binding maps to the identical port shape (parity fixtures); calls carry tenant_id + app_id.</w:t>
      </w:r>
    </w:p>
    <w:p>
      <w:pPr>
        <w:pStyle w:val="Heading1"/>
        <w:spacing w:after="200" w:before="340"/>
      </w:pPr>
      <w:r>
        <w:rPr>
          <w:rFonts w:ascii="Calibri" w:cs="Calibri" w:eastAsia="Calibri" w:hAnsi="Calibri"/>
          <w:b/>
          <w:bCs/>
          <w:color w:val="0B1F3A"/>
          <w:sz w:val="30"/>
          <w:szCs w:val="30"/>
        </w:rPr>
        <w:t xml:space="preserve">5. Non-Functional Requirements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600"/>
        <w:gridCol w:w="6750"/>
      </w:tblGrid>
      <w:tr>
        <w:trPr>
          <w:tblHeader/>
        </w:trPr>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Attribute</w:t>
            </w:r>
          </w:p>
        </w:tc>
        <w:tc>
          <w:tcPr>
            <w:tcW w:type="dxa" w:w="67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Target / requirement</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Auth-path overhead</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Minimal; supports Cards' &lt;400 ms budget</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PCI posture</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No PAN data in the platform (CI-enforced)</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Contract</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Pact provider to Cards (07)</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Idempotency</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Duplicate auth messages converge</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Resilience</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Circuit breaker per processor</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Deployment</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Only when Cards is enabled</w:t>
            </w:r>
          </w:p>
        </w:tc>
      </w:tr>
    </w:tbl>
    <w:p>
      <w:pPr>
        <w:pStyle w:val="Heading1"/>
        <w:spacing w:after="200" w:before="340"/>
      </w:pPr>
      <w:r>
        <w:rPr>
          <w:rFonts w:ascii="Calibri" w:cs="Calibri" w:eastAsia="Calibri" w:hAnsi="Calibri"/>
          <w:b/>
          <w:bCs/>
          <w:color w:val="0B1F3A"/>
          <w:sz w:val="30"/>
          <w:szCs w:val="30"/>
        </w:rPr>
        <w:t xml:space="preserve">6. Data Owned</w:t>
      </w:r>
    </w:p>
    <w:p>
      <w:pPr>
        <w:spacing w:after="160" w:line="300"/>
      </w:pPr>
      <w:r>
        <w:rPr>
          <w:rFonts w:ascii="Calibri" w:cs="Calibri" w:eastAsia="Calibri" w:hAnsi="Calibri"/>
          <w:color w:val="1E2A38"/>
          <w:sz w:val="22"/>
          <w:szCs w:val="22"/>
        </w:rPr>
        <w:t xml:space="preserve">This adapter owns no card records and no PANs. Operationally it manages:</w:t>
      </w:r>
    </w:p>
    <w:p>
      <w:pPr>
        <w:pStyle w:val="ListParagraph"/>
        <w:numPr>
          <w:ilvl w:val="0"/>
          <w:numId w:val="2"/>
        </w:numPr>
        <w:spacing w:after="120" w:line="290"/>
      </w:pPr>
      <w:r>
        <w:rPr>
          <w:rFonts w:ascii="Calibri" w:cs="Calibri" w:eastAsia="Calibri" w:hAnsi="Calibri"/>
          <w:color w:val="1E2A38"/>
          <w:sz w:val="22"/>
          <w:szCs w:val="22"/>
        </w:rPr>
        <w:t xml:space="preserve">None — Cards (07) owns card records. It keeps token-reference correlation + auth dedupe state only.</w:t>
      </w:r>
    </w:p>
    <w:p>
      <w:pPr>
        <w:pStyle w:val="Heading1"/>
        <w:spacing w:after="200" w:before="340"/>
      </w:pPr>
      <w:r>
        <w:rPr>
          <w:rFonts w:ascii="Calibri" w:cs="Calibri" w:eastAsia="Calibri" w:hAnsi="Calibri"/>
          <w:b/>
          <w:bCs/>
          <w:color w:val="0B1F3A"/>
          <w:sz w:val="30"/>
          <w:szCs w:val="30"/>
        </w:rPr>
        <w:t xml:space="preserve">7. Interfaces</w:t>
      </w:r>
    </w:p>
    <w:p>
      <w:pPr>
        <w:pStyle w:val="Heading2"/>
        <w:spacing w:after="160" w:before="260"/>
      </w:pPr>
      <w:r>
        <w:rPr>
          <w:rFonts w:ascii="Calibri" w:cs="Calibri" w:eastAsia="Calibri" w:hAnsi="Calibri"/>
          <w:b/>
          <w:bCs/>
          <w:color w:val="0A7E79"/>
          <w:sz w:val="25"/>
          <w:szCs w:val="25"/>
        </w:rPr>
        <w:t xml:space="preserve">7.1 APIs / methods exposed</w:t>
      </w:r>
    </w:p>
    <w:p>
      <w:pPr>
        <w:pStyle w:val="ListParagraph"/>
        <w:numPr>
          <w:ilvl w:val="0"/>
          <w:numId w:val="2"/>
        </w:numPr>
        <w:spacing w:after="120" w:line="290"/>
      </w:pPr>
      <w:r>
        <w:rPr>
          <w:rFonts w:ascii="Calibri" w:cs="Calibri" w:eastAsia="Calibri" w:hAnsi="Calibri"/>
          <w:color w:val="1E2A38"/>
          <w:sz w:val="22"/>
          <w:szCs w:val="22"/>
        </w:rPr>
        <w:t xml:space="preserve">CardProcessorPort: issueVirtual, issuePhysical, syncControls, forwardAuthorization, fetchClearing, healthCheck.</w:t>
      </w:r>
    </w:p>
    <w:p>
      <w:pPr>
        <w:pStyle w:val="Heading2"/>
        <w:spacing w:after="160" w:before="260"/>
      </w:pPr>
      <w:r>
        <w:rPr>
          <w:rFonts w:ascii="Calibri" w:cs="Calibri" w:eastAsia="Calibri" w:hAnsi="Calibri"/>
          <w:b/>
          <w:bCs/>
          <w:color w:val="0A7E79"/>
          <w:sz w:val="25"/>
          <w:szCs w:val="25"/>
        </w:rPr>
        <w:t xml:space="preserve">7.2 Events published / consumed</w:t>
      </w:r>
    </w:p>
    <w:p>
      <w:pPr>
        <w:pStyle w:val="ListParagraph"/>
        <w:numPr>
          <w:ilvl w:val="0"/>
          <w:numId w:val="2"/>
        </w:numPr>
        <w:spacing w:after="120" w:line="290"/>
      </w:pPr>
      <w:r>
        <w:rPr>
          <w:rFonts w:ascii="Calibri" w:cs="Calibri" w:eastAsia="Calibri" w:hAnsi="Calibri"/>
          <w:color w:val="1E2A38"/>
          <w:sz w:val="22"/>
          <w:szCs w:val="22"/>
        </w:rPr>
        <w:t xml:space="preserve">Publishes/consumes: none directly (synchronous + processor callbacks normalized).</w:t>
      </w:r>
    </w:p>
    <w:p>
      <w:pPr>
        <w:pStyle w:val="Heading1"/>
        <w:spacing w:after="200" w:before="340"/>
      </w:pPr>
      <w:r>
        <w:rPr>
          <w:rFonts w:ascii="Calibri" w:cs="Calibri" w:eastAsia="Calibri" w:hAnsi="Calibri"/>
          <w:b/>
          <w:bCs/>
          <w:color w:val="0B1F3A"/>
          <w:sz w:val="30"/>
          <w:szCs w:val="30"/>
        </w:rPr>
        <w:t xml:space="preserve">8. Dependencies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500"/>
        <w:gridCol w:w="3550"/>
        <w:gridCol w:w="3300"/>
      </w:tblGrid>
      <w:tr>
        <w:trPr>
          <w:tblHeader/>
        </w:trPr>
        <w:tc>
          <w:tcPr>
            <w:tcW w:type="dxa" w:w="25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Depends on</w:t>
            </w:r>
          </w:p>
        </w:tc>
        <w:tc>
          <w:tcPr>
            <w:tcW w:type="dxa" w:w="3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For what</w:t>
            </w:r>
          </w:p>
        </w:tc>
        <w:tc>
          <w:tcPr>
            <w:tcW w:type="dxa" w:w="33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Failure behaviour if unavailable</w:t>
            </w:r>
          </w:p>
        </w:tc>
      </w:tr>
      <w:tr>
        <w:tc>
          <w:tcPr>
            <w:tcW w:type="dxa" w:w="25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Issuer-processor</w:t>
            </w:r>
          </w:p>
        </w:tc>
        <w:tc>
          <w:tcPr>
            <w:tcW w:type="dxa" w:w="3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Issuance, auth, clearing, tokenisation</w:t>
            </w:r>
          </w:p>
        </w:tc>
        <w:tc>
          <w:tcPr>
            <w:tcW w:type="dxa" w:w="3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Auth ⇒ Cards DECLINEs; issuance retried</w:t>
            </w:r>
          </w:p>
        </w:tc>
      </w:tr>
      <w:tr>
        <w:tc>
          <w:tcPr>
            <w:tcW w:type="dxa" w:w="25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SPI registry</w:t>
            </w:r>
          </w:p>
        </w:tc>
        <w:tc>
          <w:tcPr>
            <w:tcW w:type="dxa" w:w="3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Per-tenant processor binding</w:t>
            </w:r>
          </w:p>
        </w:tc>
        <w:tc>
          <w:tcPr>
            <w:tcW w:type="dxa" w:w="3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Bind the correct processor</w:t>
            </w:r>
          </w:p>
        </w:tc>
      </w:tr>
    </w:tbl>
    <w:p>
      <w:pPr>
        <w:pStyle w:val="Heading1"/>
        <w:spacing w:after="200" w:before="340"/>
      </w:pPr>
      <w:r>
        <w:rPr>
          <w:rFonts w:ascii="Calibri" w:cs="Calibri" w:eastAsia="Calibri" w:hAnsi="Calibri"/>
          <w:b/>
          <w:bCs/>
          <w:color w:val="0B1F3A"/>
          <w:sz w:val="30"/>
          <w:szCs w:val="30"/>
        </w:rPr>
        <w:t xml:space="preserve">9. Key Risks &amp; Controls</w:t>
      </w:r>
    </w:p>
    <w:p>
      <w:pPr>
        <w:pStyle w:val="ListParagraph"/>
        <w:numPr>
          <w:ilvl w:val="0"/>
          <w:numId w:val="2"/>
        </w:numPr>
        <w:spacing w:after="120" w:line="290"/>
      </w:pPr>
      <w:r>
        <w:rPr>
          <w:rFonts w:ascii="Calibri" w:cs="Calibri" w:eastAsia="Calibri" w:hAnsi="Calibri"/>
          <w:color w:val="1E2A38"/>
          <w:sz w:val="22"/>
          <w:szCs w:val="22"/>
        </w:rPr>
        <w:t xml:space="preserve">PAN entering platform scope — structurally prevented (tokens only) + CI PAN-pattern checks.</w:t>
      </w:r>
    </w:p>
    <w:p>
      <w:pPr>
        <w:pStyle w:val="ListParagraph"/>
        <w:numPr>
          <w:ilvl w:val="0"/>
          <w:numId w:val="2"/>
        </w:numPr>
        <w:spacing w:after="120" w:line="290"/>
      </w:pPr>
      <w:r>
        <w:rPr>
          <w:rFonts w:ascii="Calibri" w:cs="Calibri" w:eastAsia="Calibri" w:hAnsi="Calibri"/>
          <w:color w:val="1E2A38"/>
          <w:sz w:val="22"/>
          <w:szCs w:val="22"/>
        </w:rPr>
        <w:t xml:space="preserve">Slow auth forwarding — controlled by the low-latency path.</w:t>
      </w:r>
    </w:p>
    <w:p>
      <w:pPr>
        <w:pStyle w:val="ListParagraph"/>
        <w:numPr>
          <w:ilvl w:val="0"/>
          <w:numId w:val="2"/>
        </w:numPr>
        <w:spacing w:after="120" w:line="290"/>
      </w:pPr>
      <w:r>
        <w:rPr>
          <w:rFonts w:ascii="Calibri" w:cs="Calibri" w:eastAsia="Calibri" w:hAnsi="Calibri"/>
          <w:color w:val="1E2A38"/>
          <w:sz w:val="22"/>
          <w:szCs w:val="22"/>
        </w:rPr>
        <w:t xml:space="preserve">Duplicate auth double-count — controlled by idempotent handling.</w:t>
      </w:r>
    </w:p>
    <w:tbl>
      <w:tblPr>
        <w:tblW w:type="dxa" w:w="9350"/>
        <w:tblBorders>
          <w:top w:val="single" w:color="B9770E" w:sz="6"/>
          <w:left w:val="single" w:color="B9770E" w:sz="18"/>
          <w:bottom w:val="single" w:color="B9770E" w:sz="6"/>
          <w:right w:val="single" w:color="B9770E" w:sz="6"/>
          <w:insideH w:val="single" w:color="B9770E" w:sz="6"/>
          <w:insideV w:val="single" w:color="B9770E" w:sz="6"/>
        </w:tblBorders>
      </w:tblPr>
      <w:tblGrid>
        <w:gridCol w:w="9350"/>
      </w:tblGrid>
      <w:tr>
        <w:tc>
          <w:tcPr>
            <w:tcW w:type="dxa" w:w="9350"/>
            <w:shd w:fill="FDEBD0" w:val="clear"/>
            <w:tcMar>
              <w:top w:type="dxa" w:w="130"/>
              <w:left w:type="dxa" w:w="170"/>
              <w:bottom w:type="dxa" w:w="130"/>
              <w:right w:type="dxa" w:w="170"/>
            </w:tcMar>
          </w:tcPr>
          <w:p>
            <w:pPr>
              <w:spacing w:after="0" w:line="290"/>
            </w:pPr>
            <w:r>
              <w:rPr>
                <w:rFonts w:ascii="Calibri" w:cs="Calibri" w:eastAsia="Calibri" w:hAnsi="Calibri"/>
                <w:b/>
                <w:bCs/>
                <w:color w:val="B9770E"/>
                <w:sz w:val="21"/>
                <w:szCs w:val="21"/>
              </w:rPr>
              <w:t xml:space="preserve">Optional, PCI-conscious.  </w:t>
            </w:r>
            <w:r>
              <w:rPr>
                <w:rFonts w:ascii="Calibri" w:cs="Calibri" w:eastAsia="Calibri" w:hAnsi="Calibri"/>
                <w:color w:val="1E2A38"/>
                <w:sz w:val="21"/>
                <w:szCs w:val="21"/>
              </w:rPr>
              <w:t xml:space="preserve">Built with the optional Cards service; its defining constraint is keeping card numbers at the processor so the platform never inherits PCI cardholder-data scope.</w:t>
            </w:r>
          </w:p>
        </w:tc>
      </w:tr>
    </w:tbl>
    <w:sectPr>
      <w:headerReference w:type="default" r:id="rId7"/>
      <w:footerReference w:type="default" r:id="rId8"/>
      <w:pgSz w:w="12240" w:h="15840" w:orient="portrait"/>
      <w:pgMar w:top="120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Calibri" w:cs="Calibri" w:eastAsia="Calibri" w:hAnsi="Calibri"/>
        <w:color w:val="5B6B7A"/>
        <w:sz w:val="17"/>
        <w:szCs w:val="17"/>
      </w:rPr>
      <w:t xml:space="preserve">Confidential — Internal Use   ·   Page </w:t>
    </w:r>
    <w:r>
      <w:rPr>
        <w:rFonts w:ascii="Calibri" w:cs="Calibri" w:eastAsia="Calibri" w:hAnsi="Calibri"/>
        <w:color w:val="5B6B7A"/>
        <w:sz w:val="17"/>
        <w:szCs w:val="17"/>
      </w:rPr>
      <w:fldChar w:fldCharType="begin"/>
      <w:instrText xml:space="preserve">PAGE</w:instrText>
      <w:fldChar w:fldCharType="separate"/>
      <w:fldChar w:fldCharType="end"/>
    </w:r>
    <w:r>
      <w:rPr>
        <w:rFonts w:ascii="Calibri" w:cs="Calibri" w:eastAsia="Calibri" w:hAnsi="Calibri"/>
        <w:color w:val="5B6B7A"/>
        <w:sz w:val="17"/>
        <w:szCs w:val="17"/>
      </w:rPr>
      <w:t xml:space="preserve"> of </w:t>
    </w:r>
    <w:r>
      <w:rPr>
        <w:rFonts w:ascii="Calibri" w:cs="Calibri" w:eastAsia="Calibri" w:hAnsi="Calibri"/>
        <w:color w:val="5B6B7A"/>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right"/>
    </w:pPr>
    <w:r>
      <w:rPr>
        <w:rFonts w:ascii="Calibri" w:cs="Calibri" w:eastAsia="Calibri" w:hAnsi="Calibri"/>
        <w:color w:val="0A7E79"/>
        <w:sz w:val="17"/>
        <w:szCs w:val="17"/>
      </w:rPr>
      <w:t xml:space="preserve">Adapter 20 — Card Processor Adapter · Feature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460" w:hanging="23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E2A38"/>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2026-07-22T22:15:35.832Z</dcterms:created>
  <dcterms:modified xsi:type="dcterms:W3CDTF">2026-07-22T22:15:35.832Z</dcterms:modified>
</cp:coreProperties>
</file>

<file path=docProps/custom.xml><?xml version="1.0" encoding="utf-8"?>
<Properties xmlns="http://schemas.openxmlformats.org/officeDocument/2006/custom-properties" xmlns:vt="http://schemas.openxmlformats.org/officeDocument/2006/docPropsVTypes"/>
</file>