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700"/>
      </w:pPr>
      <w:r>
        <w:rPr>
          <w:rFonts w:ascii="Calibri" w:cs="Calibri" w:eastAsia="Calibri" w:hAnsi="Calibri"/>
          <w:b/>
          <w:bCs/>
          <w:color w:val="0A7E79"/>
          <w:sz w:val="21"/>
          <w:szCs w:val="21"/>
        </w:rPr>
        <w:t xml:space="preserve">FEATURE SPECIFICATION · ADAPTER · Adapter 21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B1F3A"/>
          <w:sz w:val="52"/>
          <w:szCs w:val="52"/>
        </w:rPr>
        <w:t xml:space="preserve">Notification / Messaging Adapter — Feature Specification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A7E79"/>
          <w:sz w:val="27"/>
          <w:szCs w:val="27"/>
        </w:rPr>
        <w:t xml:space="preserve">Delivers SMS / email / push / in-app via regional providers behind one port</w:t>
      </w:r>
    </w:p>
    <w:p>
      <w:pPr>
        <w:spacing w:after="420"/>
      </w:pPr>
      <w:r>
        <w:rPr>
          <w:rFonts w:ascii="Calibri" w:cs="Calibri" w:eastAsia="Calibri" w:hAnsi="Calibri"/>
          <w:i/>
          <w:iCs/>
          <w:color w:val="5B6B7A"/>
          <w:sz w:val="22"/>
          <w:szCs w:val="22"/>
        </w:rPr>
        <w:t xml:space="preserve">The delivery boundary for the Notification service (13) — regional sender routing, signed status callbacks, honest failure.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300"/>
        <w:gridCol w:w="7050"/>
      </w:tblGrid>
      <w:tr>
        <w:trPr>
          <w:tblHeader/>
        </w:trPr>
        <w:tc>
          <w:tcPr>
            <w:tcW w:type="dxa" w:w="2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Field</w:t>
            </w:r>
          </w:p>
        </w:tc>
        <w:tc>
          <w:tcPr>
            <w:tcW w:type="dxa" w:w="70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Component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Notification / Messaging Adapter (Adapter 21)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Type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Shared adapter (SPI)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Runtime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TypeScript — NestJS injectable providers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Owning squad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Platform Adapters (shared)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Consumes / depends 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SMS/email/push providers (regional); SPI registry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Consumed by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Notification service (13)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companion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21_notification_adapter.design.md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Status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stage — nothing built yet; features below are the target scope to build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Version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1.0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Date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17 July 2026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Classification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1. Overview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adapter delivers messages over SMS, email, push and in-app by integrating regional providers behind a single MessagingProviderPort. Provider choice is per-tenant/per-region SPI configuration (local SMS aggregators matter for deliverability in PK/AE/SA). It normalises provider delivery receipts and fails honestly so the Notification service can retry or fail over.</w:t>
      </w:r>
    </w:p>
    <w:tbl>
      <w:tblPr>
        <w:tblW w:type="dxa" w:w="9350"/>
        <w:tblBorders>
          <w:top w:val="single" w:color="0A7E79" w:sz="6"/>
          <w:left w:val="single" w:color="0A7E79" w:sz="18"/>
          <w:bottom w:val="single" w:color="0A7E79" w:sz="6"/>
          <w:right w:val="single" w:color="0A7E79" w:sz="6"/>
          <w:insideH w:val="single" w:color="0A7E79" w:sz="6"/>
          <w:insideV w:val="single" w:color="0A7E79" w:sz="6"/>
        </w:tblBorders>
      </w:tblPr>
      <w:tblGrid>
        <w:gridCol w:w="9350"/>
      </w:tblGrid>
      <w:tr>
        <w:tc>
          <w:tcPr>
            <w:tcW w:type="dxa" w:w="9350"/>
            <w:shd w:fill="EAF2F8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0A7E79"/>
                <w:sz w:val="21"/>
                <w:szCs w:val="21"/>
              </w:rPr>
              <w:t xml:space="preserve">Single responsibility.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It is the anti-corruption layer to messaging vendors: route to the right regional sender, normalise delivery receipts, and report failures honestly. Template rendering, locale and consent belong to Notification (13).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2. Scope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2.1 In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Send over SMS / email / push / in-app via the bound provider.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Regional sender/route selection.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Delivery-receipt (DLR) normalisation via webhooks.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Provider failover support (primary/secondary).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Multiple bindings per channel/region via the SPI registry.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2.2 Explicitly out of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Template rendering, locale, consent (Notification, 13).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Deciding what/when to send (13 + domain events).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Storing customer preferences (13).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3. Feature Catalogue (MoSCoW)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Features grouped by capability area. Priority uses MoSCoW: Must = required for the Pakistan pilot; Should = needed for a complete first release; Could = valuable later; Won't = explicitly deferred (recorded so it is a decision, not an omission).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3.1 Delivery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DL1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SMS send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Send via a regional SMS aggregator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DL2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Email send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Send via the bound email provider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DL3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Push send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Send mobile push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DL4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In-app delivery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Deliver in-app messages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DL5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Delivery-receipt normalisation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Normalise DLR webhooks to platform status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</w:tbl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3.2 Routing &amp; bindings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RB1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Regional sender routing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Pick the right sender/route per region for deliverability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RB2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Primary/secondary bindings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Bind providers per channel/region via SPI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RB3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Failover support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Expose failure fast so 13 can fail over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RB4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Provider health check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Expose provider availability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4. Functional Requirements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Delivery receipts are normalised to a common status model regardless of provider.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Send failures surface promptly and honestly so Notification (13) can retry/fail over; the adapter never reports a false 'delivered'.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Webhook callbacks are signature-verified and deduplicated.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Each provider binding maps to the identical port shape (parity fixtures); calls carry tenant_id + app_id.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5. Non-Functional Requirements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600"/>
        <w:gridCol w:w="6750"/>
      </w:tblGrid>
      <w:tr>
        <w:trPr>
          <w:tblHeader/>
        </w:trPr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Attribute</w:t>
            </w:r>
          </w:p>
        </w:tc>
        <w:tc>
          <w:tcPr>
            <w:tcW w:type="dxa" w:w="67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Target / requirement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Send latency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Supports 13's &lt;5 s OTP target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DLR fidelity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Accurate delivered/failed normalisation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Contract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Pact provider to Notification (13)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Resilience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Fast-fail to enable failover; dedup callbacks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Isolation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tenant/app-scoped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Deliverability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Regional routing for PK/AE/SA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6. Data Owned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adapter owns no notification records. Operationally it manages: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None — Notification (13) owns templates, sends and preferences. It keeps provider-message-id correlation only.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7. Interfaces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7.1 APIs / methods exposed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MessagingProviderPort: sendSms, sendEmail, sendPush, sendInApp, healthCheck (+ DLR webhook normalisation).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7.2 Events published / consumed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Publishes/consumes: none directly (synchronous + DLR webhooks normalized to 13).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8. Dependencies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500"/>
        <w:gridCol w:w="3550"/>
        <w:gridCol w:w="3300"/>
      </w:tblGrid>
      <w:tr>
        <w:trPr>
          <w:tblHeader/>
        </w:trPr>
        <w:tc>
          <w:tcPr>
            <w:tcW w:type="dxa" w:w="25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Depends on</w:t>
            </w:r>
          </w:p>
        </w:tc>
        <w:tc>
          <w:tcPr>
            <w:tcW w:type="dxa" w:w="3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For what</w:t>
            </w:r>
          </w:p>
        </w:tc>
        <w:tc>
          <w:tcPr>
            <w:tcW w:type="dxa" w:w="3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Failure behaviour if unavailable</w:t>
            </w:r>
          </w:p>
        </w:tc>
      </w:tr>
      <w:tr>
        <w:tc>
          <w:tcPr>
            <w:tcW w:type="dxa" w:w="2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Messaging providers</w:t>
            </w:r>
          </w:p>
        </w:tc>
        <w:tc>
          <w:tcPr>
            <w:tcW w:type="dxa" w:w="3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Actual delivery + DLRs</w:t>
            </w:r>
          </w:p>
        </w:tc>
        <w:tc>
          <w:tcPr>
            <w:tcW w:type="dxa" w:w="3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Fast-fail so 13 retries/fails over</w:t>
            </w:r>
          </w:p>
        </w:tc>
      </w:tr>
      <w:tr>
        <w:tc>
          <w:tcPr>
            <w:tcW w:type="dxa" w:w="25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SPI registry</w:t>
            </w:r>
          </w:p>
        </w:tc>
        <w:tc>
          <w:tcPr>
            <w:tcW w:type="dxa" w:w="3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Per-channel/region binding</w:t>
            </w:r>
          </w:p>
        </w:tc>
        <w:tc>
          <w:tcPr>
            <w:tcW w:type="dxa" w:w="3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Bind the correct regional provider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9. Key Risks &amp; Controls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False 'delivered' status — controlled by honest DLR normalisation.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Poor regional deliverability — controlled by regional sender routing.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Duplicate DLR processing — controlled by signed, deduped callbacks.</w:t>
      </w:r>
    </w:p>
    <w:sectPr>
      <w:headerReference w:type="default" r:id="rId7"/>
      <w:footerReference w:type="default" r:id="rId8"/>
      <w:pgSz w:w="12240" w:h="15840" w:orient="portrait"/>
      <w:pgMar w:top="1200" w:right="1440" w:bottom="120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/>
      <w:jc w:val="center"/>
    </w:pPr>
    <w:r>
      <w:rPr>
        <w:rFonts w:ascii="Calibri" w:cs="Calibri" w:eastAsia="Calibri" w:hAnsi="Calibri"/>
        <w:color w:val="5B6B7A"/>
        <w:sz w:val="17"/>
        <w:szCs w:val="17"/>
      </w:rPr>
      <w:t xml:space="preserve">Confidential — Internal Use   ·   Page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B6B7A"/>
        <w:sz w:val="17"/>
        <w:szCs w:val="17"/>
      </w:rPr>
      <w:t xml:space="preserve"> of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right"/>
    </w:pPr>
    <w:r>
      <w:rPr>
        <w:rFonts w:ascii="Calibri" w:cs="Calibri" w:eastAsia="Calibri" w:hAnsi="Calibri"/>
        <w:color w:val="0A7E79"/>
        <w:sz w:val="17"/>
        <w:szCs w:val="17"/>
      </w:rPr>
      <w:t xml:space="preserve">Adapter 21 — Notification / Messaging Adapter · Feature Specification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start"/>
      <w:pPr>
        <w:ind w:left="460" w:hanging="23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E2A38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2026-07-22T22:15:35.948Z</dcterms:created>
  <dcterms:modified xsi:type="dcterms:W3CDTF">2026-07-22T22:15:35.948Z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