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ADAPTER · Adapter 26 (new)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E-Signature / Consent Capture Adapter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Legally-meaningful signatures, revocable consents and defensible evidence bundles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Captures signatures and consents and preserves the evidence bundle that makes them defensible — the legal-record boundary both apps and the Bureau adapter depend on.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E-Signature / Consent Capture Adapter (Adapter 26 (new))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Shared adapter (SPI)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TypeScript — NestJS injectable providers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Platform Adapters (shared)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Signing schemes (UAE Pass / Nafath-linked TSPs / ETO-2002 providers) + global vendor; SPI registry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Banking app (agreements/mandates), Takaful app (policy/wakala/claim forms), Credit Bureau adapter (24)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26_esign_adapter.design.md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net-new shared adapter creates signing envelopes over documents, routes them to signers through the bound market scheme, tracks status, and — the part that matters legally — assembles and preserves the evidence bundle (who signed, authenticated how, when, document hashes, device/channel, certificate chain). It also captures standalone, revocable consents (e.g. bureau-inquiry consent) that other adapters verify against.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produces signatures and consents and preserves their evidence. The evidence bundle — not the signature image — is the legal artefact. It does not decide what needs signing (the apps do); it makes the act defensible and region-local.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Envelope creation over one or more documents (hashed at creation).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Signer routing via the bound scheme; status tracking.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Evidence-bundle assembly and region-local retention.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Standalone consent capture, verification and revocation.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Multiple scheme bindings via the SPI registry.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Deciding which documents require signature/consent (the apps).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Storing document bodies in service databases (object storage only).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Being a customer record (Identity, 02).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Signatures &amp; evidence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SG1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Create envelope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Create a signing envelope over hashed documents + signers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SG2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 tracking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Track per-signer status (webhook + poll fallback)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SG3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Evidence-bundle assembly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Assemble identity/auth/timestamps/hashes/cert chain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SG4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Region-local evidence retention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Store evidence in-region per residency + pack retention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SG5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Tamper detection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Any document byte-change voids the envelope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Consent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CN1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Capture consent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Record a first-class consent (type, scope, channel, validity)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CN2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Verify consent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Return VALID/EXPIRED/REVOKED/SCOPE_MISMATCH (used by 24)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CN3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Revoke consent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Append-only, immediate revocation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CN4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Consent taxonomy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Controlled consent type/scope list per pack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3.3 Scheme bindings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SB1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UAE Pass signing (AE)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National digital-signature capability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SB2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Nafath-linked signing (SA)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Nafath auth + licensed TSP signing, in-Kingdom evidence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SB3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ETO-2002 certified providers (PK)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Electronic Transactions Ordinance basis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SB4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Global vendor (fallback)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Cross-border/KYB signers; residency-pinned storage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SB5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Mock scheme (sandbox)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Deterministic fixtures incl. tamper cases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Documents are hashed at envelope creation; any later byte change voids the envelope (loud tamper detection).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The evidence bundle is written region-local before an envelope is reported complete (else it stays PENDING_EVIDENCE).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KSA evidence never leaves the Kingdom; retention follows the compliance pack.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Consent is append-only: revocation is a new record, and verifyConsent is a local, highly-available read (independent of the external scheme).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Every call carries tenant_id + app_id; RTL documents (ur-PK Nastaliq, ar-*) render and hash deterministically.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Evidence integrity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Complete, hash-chained, internally consistent bundle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Residency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sa envelopes/evidence: zero non-Kingdom egress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Consent availability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verifyConsent independent of scheme uptime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Contract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Pact provider to banking-app, takaful-app AND adapter 24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Tamper safety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Document change ⇒ detectable envelope void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Retention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Per-pack (insurance evidence often outlives banking mandates)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adapter owns the legal records of signature and consent. It manages: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Consent records — {consentRef, subject, type, scope[], capturedVia, validFrom/Until, revokedAt?, evidenceRef} (append-only).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Envelopes + evidence bundles — status + the region-local evidence artefact reference (documents in object storage, never inline).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SignaturePort: createEnvelope, getStatus, downloadEvidenceBundle, captureConsent, verifyConsent, revokeConsent.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Publishes: esign.envelope.completed.v1, consent.captured|revoked.v1.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Consumes: none (synchronous port + scheme webhooks normalized).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Signing schemes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Signature creation + authentication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Queue with expiry; never downgrade signature level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SPI registry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Per-market scheme binding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Bind the correct scheme per market/doc class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Weak/incomplete evidence — controlled by the mandatory evidence-bundle completeness check.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Silent completion without evidence — prevented by PENDING_EVIDENCE gating.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Residency breach on KSA evidence — controlled by in-Kingdom storage + egress tests.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Tampered document accepted — prevented by hash-at-creation + void-on-change.</w:t>
      </w:r>
    </w:p>
    <w:tbl>
      <w:tblPr>
        <w:tblW w:type="dxa" w:w="9350"/>
        <w:tblBorders>
          <w:top w:val="single" w:color="B9770E" w:sz="6"/>
          <w:left w:val="single" w:color="B9770E" w:sz="18"/>
          <w:bottom w:val="single" w:color="B9770E" w:sz="6"/>
          <w:right w:val="single" w:color="B9770E" w:sz="6"/>
          <w:insideH w:val="single" w:color="B9770E" w:sz="6"/>
          <w:insideV w:val="single" w:color="B9770E" w:sz="6"/>
        </w:tblBorders>
      </w:tblPr>
      <w:tblGrid>
        <w:gridCol w:w="9350"/>
      </w:tblGrid>
      <w:tr>
        <w:tc>
          <w:tcPr>
            <w:tcW w:type="dxa" w:w="9350"/>
            <w:shd w:fill="FDEBD0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B9770E"/>
                <w:sz w:val="21"/>
                <w:szCs w:val="21"/>
              </w:rPr>
              <w:t xml:space="preserve">New build — Phase B; build before the Bureau adapter (24).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The Credit Bureau adapter (24) legally depends on consent captured here, so E-Sign is built first among the three new adapters. Its evidence bundle is the artefact regulators and courts examine.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Adapter 26 (new) — E-Signature / Consent Capture Adapter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2026-07-22T22:17:05.328Z</dcterms:created>
  <dcterms:modified xsi:type="dcterms:W3CDTF">2026-07-22T22:17:05.328Z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